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3A" w:rsidRDefault="00C31B3A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C31B3A" w:rsidRDefault="00C31B3A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C31B3A" w:rsidRDefault="00D7510E" w:rsidP="00D1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402-01/21-01/02</w:t>
      </w:r>
    </w:p>
    <w:p w:rsidR="00D7510E" w:rsidRDefault="00D7510E" w:rsidP="00D1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2158-77-10-21-02</w:t>
      </w:r>
    </w:p>
    <w:p w:rsidR="00CD5C6C" w:rsidRPr="00D7510E" w:rsidRDefault="00CD5C6C" w:rsidP="00D1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29. siječnja 2021.</w:t>
      </w:r>
    </w:p>
    <w:p w:rsidR="00C31B3A" w:rsidRDefault="00C31B3A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D1330B" w:rsidRPr="00F2520E" w:rsidRDefault="00D1330B" w:rsidP="00D1330B">
      <w:pPr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NADLEŽNO MINISTARSTVO:</w:t>
      </w:r>
      <w:r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2520E">
        <w:rPr>
          <w:rFonts w:ascii="Times New Roman" w:hAnsi="Times New Roman" w:cs="Times New Roman"/>
          <w:sz w:val="24"/>
          <w:szCs w:val="24"/>
        </w:rPr>
        <w:t xml:space="preserve"> SVEUČILIŠTE JOSIPA JURJA STROSSMAYERA U OSIJEKU</w:t>
      </w:r>
      <w:r w:rsidR="004A6096">
        <w:rPr>
          <w:rFonts w:ascii="Times New Roman" w:hAnsi="Times New Roman" w:cs="Times New Roman"/>
          <w:sz w:val="24"/>
          <w:szCs w:val="24"/>
        </w:rPr>
        <w:t>,</w:t>
      </w:r>
      <w:r w:rsidRPr="00F2520E">
        <w:rPr>
          <w:rFonts w:ascii="Times New Roman" w:hAnsi="Times New Roman" w:cs="Times New Roman"/>
          <w:sz w:val="24"/>
          <w:szCs w:val="24"/>
        </w:rPr>
        <w:t xml:space="preserve"> </w:t>
      </w:r>
      <w:r w:rsidR="00793AB8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OIB:</w:t>
      </w:r>
      <w:r w:rsidR="00793AB8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4A6096" w:rsidRPr="00F2520E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2520E">
        <w:rPr>
          <w:rFonts w:ascii="Times New Roman" w:hAnsi="Times New Roman" w:cs="Times New Roman"/>
          <w:sz w:val="24"/>
          <w:szCs w:val="24"/>
        </w:rPr>
        <w:t>8542</w:t>
      </w:r>
    </w:p>
    <w:p w:rsidR="004A6096" w:rsidRDefault="004A6096" w:rsidP="00D13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RAZDJEL: </w:t>
      </w:r>
      <w:r w:rsidRPr="004A6096">
        <w:rPr>
          <w:rFonts w:ascii="Times New Roman" w:hAnsi="Times New Roman" w:cs="Times New Roman"/>
          <w:sz w:val="24"/>
          <w:szCs w:val="24"/>
        </w:rPr>
        <w:t>080 (MINISTARSTVO ZNANOSTI I OBRAZOVANJA)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RKP:</w:t>
      </w:r>
      <w:r w:rsidR="00793AB8">
        <w:rPr>
          <w:rFonts w:ascii="Times New Roman" w:hAnsi="Times New Roman" w:cs="Times New Roman"/>
          <w:sz w:val="24"/>
          <w:szCs w:val="24"/>
        </w:rPr>
        <w:t xml:space="preserve"> 02250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</w:p>
    <w:p w:rsidR="00D7510E" w:rsidRPr="00F2520E" w:rsidRDefault="00D7510E" w:rsidP="00D1330B">
      <w:pPr>
        <w:rPr>
          <w:rFonts w:ascii="Times New Roman" w:hAnsi="Times New Roman" w:cs="Times New Roman"/>
          <w:sz w:val="24"/>
          <w:szCs w:val="24"/>
        </w:rPr>
      </w:pPr>
    </w:p>
    <w:p w:rsidR="00D1330B" w:rsidRPr="00F2520E" w:rsidRDefault="00952A27" w:rsidP="00952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D1330B" w:rsidRDefault="00D1330B" w:rsidP="00952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razdoblje </w:t>
      </w:r>
      <w:r w:rsidR="00ED06DD">
        <w:rPr>
          <w:rFonts w:ascii="Times New Roman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1. 1.</w:t>
      </w:r>
      <w:r w:rsidR="00952A2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4A6096">
        <w:rPr>
          <w:rFonts w:ascii="Times New Roman" w:hAnsi="Times New Roman" w:cs="Times New Roman"/>
          <w:b/>
          <w:sz w:val="24"/>
          <w:szCs w:val="24"/>
        </w:rPr>
        <w:t>do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A6096">
        <w:rPr>
          <w:rFonts w:ascii="Times New Roman" w:hAnsi="Times New Roman" w:cs="Times New Roman"/>
          <w:b/>
          <w:sz w:val="24"/>
          <w:szCs w:val="24"/>
        </w:rPr>
        <w:t>1. 12</w:t>
      </w:r>
      <w:r w:rsidR="00952A27">
        <w:rPr>
          <w:rFonts w:ascii="Times New Roman" w:hAnsi="Times New Roman" w:cs="Times New Roman"/>
          <w:b/>
          <w:sz w:val="24"/>
          <w:szCs w:val="24"/>
        </w:rPr>
        <w:t>. 2020. godine</w:t>
      </w:r>
    </w:p>
    <w:p w:rsidR="004A6096" w:rsidRPr="00F2520E" w:rsidRDefault="004A6096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B8" w:rsidRPr="00F2520E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Pr="00F2520E">
        <w:rPr>
          <w:rFonts w:ascii="Times New Roman" w:hAnsi="Times New Roman" w:cs="Times New Roman"/>
          <w:sz w:val="24"/>
          <w:szCs w:val="24"/>
        </w:rPr>
        <w:t xml:space="preserve"> je javno visoko u</w:t>
      </w:r>
      <w:r w:rsidR="009C042F">
        <w:rPr>
          <w:rFonts w:ascii="Times New Roman" w:hAnsi="Times New Roman" w:cs="Times New Roman"/>
          <w:sz w:val="24"/>
          <w:szCs w:val="24"/>
        </w:rPr>
        <w:t>čilište u sastavu Sveučilišta Josipa Jurja</w:t>
      </w:r>
      <w:r w:rsidRPr="00F2520E">
        <w:rPr>
          <w:rFonts w:ascii="Times New Roman" w:hAnsi="Times New Roman" w:cs="Times New Roman"/>
          <w:sz w:val="24"/>
          <w:szCs w:val="24"/>
        </w:rPr>
        <w:t xml:space="preserve"> Strossmayera.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 xml:space="preserve">jelom se financira iz proračuna Republike Hrvatske, a manjim </w:t>
      </w:r>
      <w:r>
        <w:rPr>
          <w:rFonts w:ascii="Times New Roman" w:hAnsi="Times New Roman" w:cs="Times New Roman"/>
          <w:sz w:val="24"/>
          <w:szCs w:val="24"/>
        </w:rPr>
        <w:t xml:space="preserve">djelom </w:t>
      </w:r>
      <w:r w:rsidRPr="00F2520E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793AB8" w:rsidRPr="00624DC8" w:rsidRDefault="00952A27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5. </w:t>
      </w:r>
      <w:r w:rsidR="00793AB8" w:rsidRPr="00624DC8">
        <w:rPr>
          <w:rFonts w:ascii="Times New Roman" w:hAnsi="Times New Roman" w:cs="Times New Roman"/>
          <w:sz w:val="24"/>
          <w:szCs w:val="24"/>
        </w:rPr>
        <w:t>Pravilnika o financijskom izvještavanju u proračunskom računovodstvu (NN 3/15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AB8" w:rsidRPr="00624DC8">
        <w:rPr>
          <w:rFonts w:ascii="Times New Roman" w:hAnsi="Times New Roman" w:cs="Times New Roman"/>
          <w:sz w:val="24"/>
          <w:szCs w:val="24"/>
        </w:rPr>
        <w:t>, 93/15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AB8" w:rsidRPr="00624DC8">
        <w:rPr>
          <w:rFonts w:ascii="Times New Roman" w:hAnsi="Times New Roman" w:cs="Times New Roman"/>
          <w:sz w:val="24"/>
          <w:szCs w:val="24"/>
        </w:rPr>
        <w:t>, 135/15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AB8" w:rsidRPr="00624DC8">
        <w:rPr>
          <w:rFonts w:ascii="Times New Roman" w:hAnsi="Times New Roman" w:cs="Times New Roman"/>
          <w:sz w:val="24"/>
          <w:szCs w:val="24"/>
        </w:rPr>
        <w:t>, 2/2017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AB8">
        <w:rPr>
          <w:rFonts w:ascii="Times New Roman" w:hAnsi="Times New Roman" w:cs="Times New Roman"/>
          <w:sz w:val="24"/>
          <w:szCs w:val="24"/>
        </w:rPr>
        <w:t xml:space="preserve">, </w:t>
      </w:r>
      <w:r w:rsidR="00793AB8" w:rsidRPr="00624DC8">
        <w:rPr>
          <w:rFonts w:ascii="Times New Roman" w:hAnsi="Times New Roman" w:cs="Times New Roman"/>
          <w:sz w:val="24"/>
          <w:szCs w:val="24"/>
        </w:rPr>
        <w:t>28/2017</w:t>
      </w:r>
      <w:r>
        <w:rPr>
          <w:rFonts w:ascii="Times New Roman" w:hAnsi="Times New Roman" w:cs="Times New Roman"/>
          <w:sz w:val="24"/>
          <w:szCs w:val="24"/>
        </w:rPr>
        <w:t>.,</w:t>
      </w:r>
      <w:r w:rsidR="00793AB8">
        <w:rPr>
          <w:rFonts w:ascii="Times New Roman" w:hAnsi="Times New Roman" w:cs="Times New Roman"/>
          <w:sz w:val="24"/>
          <w:szCs w:val="24"/>
        </w:rPr>
        <w:t xml:space="preserve"> 112/18</w:t>
      </w:r>
      <w:r>
        <w:rPr>
          <w:rFonts w:ascii="Times New Roman" w:hAnsi="Times New Roman" w:cs="Times New Roman"/>
          <w:sz w:val="24"/>
          <w:szCs w:val="24"/>
        </w:rPr>
        <w:t>., 126/2019.</w:t>
      </w:r>
      <w:r w:rsidR="00793AB8" w:rsidRPr="00624DC8">
        <w:rPr>
          <w:rFonts w:ascii="Times New Roman" w:hAnsi="Times New Roman" w:cs="Times New Roman"/>
          <w:sz w:val="24"/>
          <w:szCs w:val="24"/>
        </w:rPr>
        <w:t>) dostavljamo Bilješke uz fina</w:t>
      </w:r>
      <w:r>
        <w:rPr>
          <w:rFonts w:ascii="Times New Roman" w:hAnsi="Times New Roman" w:cs="Times New Roman"/>
          <w:sz w:val="24"/>
          <w:szCs w:val="24"/>
        </w:rPr>
        <w:t>ncijsko izvješće kao dopunu podataka uz financijske izvještaje</w:t>
      </w:r>
      <w:r w:rsidR="00793AB8" w:rsidRPr="00624DC8">
        <w:rPr>
          <w:rFonts w:ascii="Times New Roman" w:hAnsi="Times New Roman" w:cs="Times New Roman"/>
          <w:sz w:val="24"/>
          <w:szCs w:val="24"/>
        </w:rPr>
        <w:t>.</w:t>
      </w:r>
    </w:p>
    <w:p w:rsidR="000759E8" w:rsidRDefault="000759E8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0E" w:rsidRDefault="00D7510E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C6C" w:rsidRDefault="00CD5C6C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C6C" w:rsidRDefault="00CD5C6C" w:rsidP="00F252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10E" w:rsidRDefault="00D7510E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20E" w:rsidRDefault="00F2520E" w:rsidP="00F2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UZ </w:t>
      </w:r>
      <w:r w:rsidR="00793AB8"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793AB8" w:rsidRPr="00952A27" w:rsidRDefault="00793AB8" w:rsidP="00F252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045</w:t>
      </w:r>
      <w:r w:rsidR="00F2520E">
        <w:rPr>
          <w:rFonts w:ascii="Times New Roman" w:hAnsi="Times New Roman" w:cs="Times New Roman"/>
          <w:sz w:val="24"/>
          <w:szCs w:val="24"/>
        </w:rPr>
        <w:t xml:space="preserve"> –</w:t>
      </w:r>
      <w:r w:rsidR="004A6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prihoda rezultat je povećanja projektnih aktivnosti u izvještajnom razdobl</w:t>
      </w:r>
      <w:r w:rsidR="00952A27">
        <w:rPr>
          <w:rFonts w:ascii="Times New Roman" w:hAnsi="Times New Roman" w:cs="Times New Roman"/>
          <w:sz w:val="24"/>
          <w:szCs w:val="24"/>
        </w:rPr>
        <w:t>ju, ostvareno je značajno poveća</w:t>
      </w:r>
      <w:r>
        <w:rPr>
          <w:rFonts w:ascii="Times New Roman" w:hAnsi="Times New Roman" w:cs="Times New Roman"/>
          <w:sz w:val="24"/>
          <w:szCs w:val="24"/>
        </w:rPr>
        <w:t>nje prihoda iz EU sredstava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DF0787" w:rsidRDefault="00F00A35" w:rsidP="00F25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105 -</w:t>
      </w:r>
      <w:r w:rsidR="00BA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2520E">
        <w:rPr>
          <w:rFonts w:ascii="Times New Roman" w:hAnsi="Times New Roman" w:cs="Times New Roman"/>
          <w:sz w:val="24"/>
          <w:szCs w:val="24"/>
        </w:rPr>
        <w:t xml:space="preserve"> izvještajnom razdoblju ostvareno je </w:t>
      </w:r>
      <w:r w:rsidR="00793AB8">
        <w:rPr>
          <w:rFonts w:ascii="Times New Roman" w:hAnsi="Times New Roman" w:cs="Times New Roman"/>
          <w:sz w:val="24"/>
          <w:szCs w:val="24"/>
        </w:rPr>
        <w:t>više</w:t>
      </w:r>
      <w:r w:rsidR="00471368">
        <w:rPr>
          <w:rFonts w:ascii="Times New Roman" w:hAnsi="Times New Roman" w:cs="Times New Roman"/>
          <w:sz w:val="24"/>
          <w:szCs w:val="24"/>
        </w:rPr>
        <w:t xml:space="preserve"> prihoda nego u prethodnom razdoblju najvećim dijelom zbog naplate</w:t>
      </w:r>
      <w:r w:rsidR="007D12B4">
        <w:rPr>
          <w:rFonts w:ascii="Times New Roman" w:hAnsi="Times New Roman" w:cs="Times New Roman"/>
          <w:sz w:val="24"/>
          <w:szCs w:val="24"/>
        </w:rPr>
        <w:t xml:space="preserve"> sredstava iz</w:t>
      </w:r>
      <w:r w:rsidR="00471368">
        <w:rPr>
          <w:rFonts w:ascii="Times New Roman" w:hAnsi="Times New Roman" w:cs="Times New Roman"/>
          <w:sz w:val="24"/>
          <w:szCs w:val="24"/>
        </w:rPr>
        <w:t xml:space="preserve"> ugovo</w:t>
      </w:r>
      <w:r w:rsidR="00F13D16">
        <w:rPr>
          <w:rFonts w:ascii="Times New Roman" w:hAnsi="Times New Roman" w:cs="Times New Roman"/>
          <w:sz w:val="24"/>
          <w:szCs w:val="24"/>
        </w:rPr>
        <w:t>renih projek</w:t>
      </w:r>
      <w:r w:rsidR="00F84B3A">
        <w:rPr>
          <w:rFonts w:ascii="Times New Roman" w:hAnsi="Times New Roman" w:cs="Times New Roman"/>
          <w:sz w:val="24"/>
          <w:szCs w:val="24"/>
        </w:rPr>
        <w:t>ata</w:t>
      </w:r>
      <w:r w:rsidR="008F7A05">
        <w:rPr>
          <w:rFonts w:ascii="Times New Roman" w:hAnsi="Times New Roman" w:cs="Times New Roman"/>
          <w:sz w:val="24"/>
          <w:szCs w:val="24"/>
        </w:rPr>
        <w:t>.</w:t>
      </w:r>
      <w:r w:rsidR="00F8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124</w:t>
      </w:r>
      <w:r w:rsidR="00CA2A9D">
        <w:rPr>
          <w:rFonts w:ascii="Times New Roman" w:hAnsi="Times New Roman" w:cs="Times New Roman"/>
          <w:sz w:val="24"/>
          <w:szCs w:val="24"/>
        </w:rPr>
        <w:t xml:space="preserve"> – </w:t>
      </w:r>
      <w:r w:rsidR="0009195E">
        <w:rPr>
          <w:rFonts w:ascii="Times New Roman" w:hAnsi="Times New Roman" w:cs="Times New Roman"/>
          <w:sz w:val="24"/>
          <w:szCs w:val="24"/>
        </w:rPr>
        <w:t>povećanje</w:t>
      </w:r>
      <w:r w:rsidR="00F84B3A">
        <w:rPr>
          <w:rFonts w:ascii="Times New Roman" w:hAnsi="Times New Roman" w:cs="Times New Roman"/>
          <w:sz w:val="24"/>
          <w:szCs w:val="24"/>
        </w:rPr>
        <w:t xml:space="preserve"> aktivnosti obavljanja rada na tržištu rezultiralo</w:t>
      </w:r>
      <w:r w:rsidR="0009195E">
        <w:rPr>
          <w:rFonts w:ascii="Times New Roman" w:hAnsi="Times New Roman" w:cs="Times New Roman"/>
          <w:sz w:val="24"/>
          <w:szCs w:val="24"/>
        </w:rPr>
        <w:t xml:space="preserve"> je povećanjem</w:t>
      </w:r>
      <w:r w:rsidR="00471368">
        <w:rPr>
          <w:rFonts w:ascii="Times New Roman" w:hAnsi="Times New Roman" w:cs="Times New Roman"/>
          <w:sz w:val="24"/>
          <w:szCs w:val="24"/>
        </w:rPr>
        <w:t xml:space="preserve"> prihoda na ovoj oznaci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471368" w:rsidRDefault="00471368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132</w:t>
      </w:r>
      <w:r w:rsidR="00E204AB">
        <w:rPr>
          <w:rFonts w:ascii="Times New Roman" w:hAnsi="Times New Roman" w:cs="Times New Roman"/>
          <w:sz w:val="24"/>
          <w:szCs w:val="24"/>
        </w:rPr>
        <w:t xml:space="preserve"> – </w:t>
      </w:r>
      <w:r w:rsidR="0009195E">
        <w:rPr>
          <w:rFonts w:ascii="Times New Roman" w:hAnsi="Times New Roman" w:cs="Times New Roman"/>
          <w:sz w:val="24"/>
          <w:szCs w:val="24"/>
        </w:rPr>
        <w:t>povećanje prihoda iz nadlež</w:t>
      </w:r>
      <w:r>
        <w:rPr>
          <w:rFonts w:ascii="Times New Roman" w:hAnsi="Times New Roman" w:cs="Times New Roman"/>
          <w:sz w:val="24"/>
          <w:szCs w:val="24"/>
        </w:rPr>
        <w:t>nog proračuna rezultat je povećanja prihoda zbog povećanja sredstava za plaće djelatnika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150 – p</w:t>
      </w:r>
      <w:r w:rsidR="00471368">
        <w:rPr>
          <w:rFonts w:ascii="Times New Roman" w:hAnsi="Times New Roman" w:cs="Times New Roman"/>
          <w:sz w:val="24"/>
          <w:szCs w:val="24"/>
        </w:rPr>
        <w:t xml:space="preserve">ovećanje </w:t>
      </w:r>
      <w:r>
        <w:rPr>
          <w:rFonts w:ascii="Times New Roman" w:hAnsi="Times New Roman" w:cs="Times New Roman"/>
          <w:sz w:val="24"/>
          <w:szCs w:val="24"/>
        </w:rPr>
        <w:t>rashoda iz nadležnog proračuna rezultat je povećanja financijskih sredstava za plaće djelatnika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E204AB" w:rsidRPr="00CB0197" w:rsidRDefault="001B4511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160</w:t>
      </w:r>
      <w:r w:rsidR="00E204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4AB">
        <w:rPr>
          <w:rFonts w:ascii="Times New Roman" w:hAnsi="Times New Roman" w:cs="Times New Roman"/>
          <w:sz w:val="24"/>
          <w:szCs w:val="24"/>
        </w:rPr>
        <w:t>sm</w:t>
      </w:r>
      <w:r w:rsidR="003D4A95">
        <w:rPr>
          <w:rFonts w:ascii="Times New Roman" w:hAnsi="Times New Roman" w:cs="Times New Roman"/>
          <w:sz w:val="24"/>
          <w:szCs w:val="24"/>
        </w:rPr>
        <w:t>a</w:t>
      </w:r>
      <w:r w:rsidR="00E204AB">
        <w:rPr>
          <w:rFonts w:ascii="Times New Roman" w:hAnsi="Times New Roman" w:cs="Times New Roman"/>
          <w:sz w:val="24"/>
          <w:szCs w:val="24"/>
        </w:rPr>
        <w:t>njenje</w:t>
      </w:r>
      <w:r w:rsidR="003D4A95">
        <w:rPr>
          <w:rFonts w:ascii="Times New Roman" w:hAnsi="Times New Roman" w:cs="Times New Roman"/>
          <w:sz w:val="24"/>
          <w:szCs w:val="24"/>
        </w:rPr>
        <w:t xml:space="preserve"> ma</w:t>
      </w:r>
      <w:r w:rsidR="00C336FA">
        <w:rPr>
          <w:rFonts w:ascii="Times New Roman" w:hAnsi="Times New Roman" w:cs="Times New Roman"/>
          <w:sz w:val="24"/>
          <w:szCs w:val="24"/>
        </w:rPr>
        <w:t>terijalnih</w:t>
      </w:r>
      <w:r w:rsidR="00E204AB">
        <w:rPr>
          <w:rFonts w:ascii="Times New Roman" w:hAnsi="Times New Roman" w:cs="Times New Roman"/>
          <w:sz w:val="24"/>
          <w:szCs w:val="24"/>
        </w:rPr>
        <w:t xml:space="preserve"> rashoda rezultat je</w:t>
      </w:r>
      <w:r w:rsidR="00C336FA">
        <w:rPr>
          <w:rFonts w:ascii="Times New Roman" w:hAnsi="Times New Roman" w:cs="Times New Roman"/>
          <w:sz w:val="24"/>
          <w:szCs w:val="24"/>
        </w:rPr>
        <w:t xml:space="preserve"> </w:t>
      </w:r>
      <w:r w:rsidR="00E204AB">
        <w:rPr>
          <w:rFonts w:ascii="Times New Roman" w:hAnsi="Times New Roman" w:cs="Times New Roman"/>
          <w:sz w:val="24"/>
          <w:szCs w:val="24"/>
        </w:rPr>
        <w:t>smanjenja rashoda u izvještajnom</w:t>
      </w:r>
      <w:r w:rsidR="00C336FA">
        <w:rPr>
          <w:rFonts w:ascii="Times New Roman" w:hAnsi="Times New Roman" w:cs="Times New Roman"/>
          <w:sz w:val="24"/>
          <w:szCs w:val="24"/>
        </w:rPr>
        <w:t xml:space="preserve"> </w:t>
      </w:r>
      <w:r w:rsidR="00CB0197">
        <w:rPr>
          <w:rFonts w:ascii="Times New Roman" w:hAnsi="Times New Roman" w:cs="Times New Roman"/>
          <w:sz w:val="24"/>
          <w:szCs w:val="24"/>
        </w:rPr>
        <w:t>razdoblju za službena putovanja i rashoda za stručno</w:t>
      </w:r>
      <w:r w:rsidR="00C336FA" w:rsidRPr="00CB0197">
        <w:rPr>
          <w:rFonts w:ascii="Times New Roman" w:hAnsi="Times New Roman" w:cs="Times New Roman"/>
          <w:sz w:val="24"/>
          <w:szCs w:val="24"/>
        </w:rPr>
        <w:t xml:space="preserve"> </w:t>
      </w:r>
      <w:r w:rsidR="00CB0197">
        <w:rPr>
          <w:rFonts w:ascii="Times New Roman" w:hAnsi="Times New Roman" w:cs="Times New Roman"/>
          <w:sz w:val="24"/>
          <w:szCs w:val="24"/>
        </w:rPr>
        <w:t>usavršavanje</w:t>
      </w:r>
      <w:r w:rsidR="00C336FA" w:rsidRPr="00CB0197">
        <w:rPr>
          <w:rFonts w:ascii="Times New Roman" w:hAnsi="Times New Roman" w:cs="Times New Roman"/>
          <w:sz w:val="24"/>
          <w:szCs w:val="24"/>
        </w:rPr>
        <w:t xml:space="preserve"> zaposlenika najvećim d</w:t>
      </w:r>
      <w:r w:rsidR="00CB0197">
        <w:rPr>
          <w:rFonts w:ascii="Times New Roman" w:hAnsi="Times New Roman" w:cs="Times New Roman"/>
          <w:sz w:val="24"/>
          <w:szCs w:val="24"/>
        </w:rPr>
        <w:t>ijelom kao posljedica pojave pandemije</w:t>
      </w:r>
      <w:r w:rsidR="00C336FA" w:rsidRPr="00CB0197">
        <w:rPr>
          <w:rFonts w:ascii="Times New Roman" w:hAnsi="Times New Roman" w:cs="Times New Roman"/>
          <w:sz w:val="24"/>
          <w:szCs w:val="24"/>
        </w:rPr>
        <w:t xml:space="preserve"> COVID-19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1B4511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2</w:t>
      </w:r>
      <w:r w:rsidR="001B45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511">
        <w:rPr>
          <w:rFonts w:ascii="Times New Roman" w:hAnsi="Times New Roman" w:cs="Times New Roman"/>
          <w:sz w:val="24"/>
          <w:szCs w:val="24"/>
        </w:rPr>
        <w:t>povećanje rashoda rezultat je povećanja rashoda na ovoj poziciji zbog doznake sredstava partnerskim institucijama na projektima koje provodi Fakultet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496925" w:rsidRDefault="00177564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341</w:t>
      </w:r>
      <w:r w:rsidR="00AB6E4B">
        <w:rPr>
          <w:rFonts w:ascii="Times New Roman" w:hAnsi="Times New Roman" w:cs="Times New Roman"/>
          <w:sz w:val="24"/>
          <w:szCs w:val="24"/>
        </w:rPr>
        <w:t xml:space="preserve"> – rashodi za nabavu nefinancijske imovine smanjeni su u odnosu na prethodnu godinu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DB5B0E" w:rsidRDefault="00DB5B0E" w:rsidP="00B703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925" w:rsidRDefault="00496925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>BILJEŠKE UZ BILANCU (obrazac BIL)</w:t>
      </w:r>
    </w:p>
    <w:p w:rsidR="00490F94" w:rsidRDefault="00DD6CF1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001</w:t>
      </w:r>
      <w:r w:rsidR="002D4E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imovina u ukupnom iznosu u promatranim izvještajnim razdobljima nije značajno</w:t>
      </w:r>
      <w:r w:rsidR="00F84B3A">
        <w:rPr>
          <w:rFonts w:ascii="Times New Roman" w:hAnsi="Times New Roman" w:cs="Times New Roman"/>
          <w:sz w:val="24"/>
          <w:szCs w:val="24"/>
        </w:rPr>
        <w:t xml:space="preserve"> mijenjana</w:t>
      </w:r>
      <w:r w:rsidR="008F7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92C" w:rsidRDefault="002D4E82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014</w:t>
      </w:r>
      <w:r w:rsidR="00AB127E">
        <w:rPr>
          <w:rFonts w:ascii="Times New Roman" w:hAnsi="Times New Roman" w:cs="Times New Roman"/>
          <w:sz w:val="24"/>
          <w:szCs w:val="24"/>
        </w:rPr>
        <w:t xml:space="preserve"> – ulaganje u postrojenja i opremu u promatra</w:t>
      </w:r>
      <w:r w:rsidR="0018492C">
        <w:rPr>
          <w:rFonts w:ascii="Times New Roman" w:hAnsi="Times New Roman" w:cs="Times New Roman"/>
          <w:sz w:val="24"/>
          <w:szCs w:val="24"/>
        </w:rPr>
        <w:t>nom razdoblju manje je u odno</w:t>
      </w:r>
      <w:r w:rsidR="008F7A05">
        <w:rPr>
          <w:rFonts w:ascii="Times New Roman" w:hAnsi="Times New Roman" w:cs="Times New Roman"/>
          <w:sz w:val="24"/>
          <w:szCs w:val="24"/>
        </w:rPr>
        <w:t>su na prethodnu godinu.</w:t>
      </w:r>
    </w:p>
    <w:p w:rsidR="00B315A7" w:rsidRPr="008F7A05" w:rsidRDefault="00B315A7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8492C">
        <w:rPr>
          <w:rFonts w:ascii="Times New Roman" w:hAnsi="Times New Roman" w:cs="Times New Roman"/>
          <w:sz w:val="24"/>
          <w:szCs w:val="24"/>
        </w:rPr>
        <w:t>AOP 141</w:t>
      </w:r>
      <w:r w:rsidR="00915CB8" w:rsidRPr="00D57A3C">
        <w:rPr>
          <w:rFonts w:ascii="Times New Roman" w:hAnsi="Times New Roman" w:cs="Times New Roman"/>
          <w:sz w:val="24"/>
          <w:szCs w:val="24"/>
        </w:rPr>
        <w:t>, AOP 152, AOP 153</w:t>
      </w:r>
      <w:r w:rsidR="00B17BC0">
        <w:rPr>
          <w:rFonts w:ascii="Times New Roman" w:hAnsi="Times New Roman" w:cs="Times New Roman"/>
          <w:sz w:val="24"/>
          <w:szCs w:val="24"/>
        </w:rPr>
        <w:t>, AOP 154</w:t>
      </w:r>
      <w:r w:rsidR="004975B7">
        <w:rPr>
          <w:rFonts w:ascii="Times New Roman" w:hAnsi="Times New Roman" w:cs="Times New Roman"/>
          <w:sz w:val="24"/>
          <w:szCs w:val="24"/>
        </w:rPr>
        <w:t xml:space="preserve"> </w:t>
      </w:r>
      <w:r w:rsidR="00915CB8" w:rsidRPr="00D57A3C">
        <w:rPr>
          <w:rFonts w:ascii="Times New Roman" w:hAnsi="Times New Roman" w:cs="Times New Roman"/>
          <w:sz w:val="24"/>
          <w:szCs w:val="24"/>
        </w:rPr>
        <w:t xml:space="preserve"> – ukupna potraživanja</w:t>
      </w:r>
      <w:r w:rsidR="00915CB8">
        <w:rPr>
          <w:rFonts w:ascii="Times New Roman" w:hAnsi="Times New Roman" w:cs="Times New Roman"/>
          <w:sz w:val="24"/>
          <w:szCs w:val="24"/>
        </w:rPr>
        <w:t xml:space="preserve"> Fakulteta</w:t>
      </w:r>
      <w:r w:rsidR="00915CB8" w:rsidRPr="00D57A3C">
        <w:rPr>
          <w:rFonts w:ascii="Times New Roman" w:hAnsi="Times New Roman" w:cs="Times New Roman"/>
          <w:sz w:val="24"/>
          <w:szCs w:val="24"/>
        </w:rPr>
        <w:t xml:space="preserve"> su </w:t>
      </w:r>
      <w:r w:rsidR="004975B7">
        <w:rPr>
          <w:rFonts w:ascii="Times New Roman" w:hAnsi="Times New Roman" w:cs="Times New Roman"/>
          <w:sz w:val="24"/>
          <w:szCs w:val="24"/>
        </w:rPr>
        <w:t xml:space="preserve">1.162.156,00 </w:t>
      </w:r>
      <w:r>
        <w:rPr>
          <w:rFonts w:ascii="Times New Roman" w:hAnsi="Times New Roman" w:cs="Times New Roman"/>
          <w:sz w:val="24"/>
          <w:szCs w:val="24"/>
        </w:rPr>
        <w:t xml:space="preserve">kn. Na temelju Izmjena i dopuna Pravilnika o proračunskom računovodstvu i računskom planu, </w:t>
      </w:r>
      <w:r w:rsidRPr="008F7A05">
        <w:rPr>
          <w:rFonts w:ascii="Times New Roman" w:hAnsi="Times New Roman" w:cs="Times New Roman"/>
          <w:sz w:val="24"/>
          <w:szCs w:val="24"/>
        </w:rPr>
        <w:t>proveden je postupak ispravka vrijednosti potraživanja u iznosu 346.213,21 kn.</w:t>
      </w:r>
    </w:p>
    <w:p w:rsidR="008F7A05" w:rsidRPr="008F7A05" w:rsidRDefault="00915CB8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8F7A05">
        <w:rPr>
          <w:rFonts w:ascii="Times New Roman" w:hAnsi="Times New Roman" w:cs="Times New Roman"/>
          <w:sz w:val="24"/>
          <w:szCs w:val="24"/>
        </w:rPr>
        <w:t xml:space="preserve"> </w:t>
      </w:r>
      <w:r w:rsidR="0004167E" w:rsidRPr="008F7A05">
        <w:rPr>
          <w:rFonts w:ascii="Times New Roman" w:hAnsi="Times New Roman" w:cs="Times New Roman"/>
          <w:sz w:val="24"/>
          <w:szCs w:val="24"/>
        </w:rPr>
        <w:t>U</w:t>
      </w:r>
      <w:r w:rsidRPr="008F7A05">
        <w:rPr>
          <w:rFonts w:ascii="Times New Roman" w:hAnsi="Times New Roman" w:cs="Times New Roman"/>
          <w:sz w:val="24"/>
          <w:szCs w:val="24"/>
        </w:rPr>
        <w:t xml:space="preserve"> struk</w:t>
      </w:r>
      <w:r w:rsidR="00CB0197" w:rsidRPr="008F7A05">
        <w:rPr>
          <w:rFonts w:ascii="Times New Roman" w:hAnsi="Times New Roman" w:cs="Times New Roman"/>
          <w:sz w:val="24"/>
          <w:szCs w:val="24"/>
        </w:rPr>
        <w:t>turi potraživanja nedospjelo je 968.737,37</w:t>
      </w:r>
      <w:r w:rsidRPr="008F7A05">
        <w:rPr>
          <w:rFonts w:ascii="Times New Roman" w:hAnsi="Times New Roman" w:cs="Times New Roman"/>
          <w:sz w:val="24"/>
          <w:szCs w:val="24"/>
        </w:rPr>
        <w:t xml:space="preserve"> kn</w:t>
      </w:r>
      <w:r w:rsidR="00CB0197" w:rsidRPr="008F7A05">
        <w:rPr>
          <w:rFonts w:ascii="Times New Roman" w:hAnsi="Times New Roman" w:cs="Times New Roman"/>
          <w:sz w:val="24"/>
          <w:szCs w:val="24"/>
        </w:rPr>
        <w:t>, a dospjelo je</w:t>
      </w:r>
      <w:r w:rsidR="008F7A05" w:rsidRPr="008F7A05">
        <w:rPr>
          <w:rFonts w:ascii="Times New Roman" w:hAnsi="Times New Roman" w:cs="Times New Roman"/>
          <w:sz w:val="24"/>
          <w:szCs w:val="24"/>
        </w:rPr>
        <w:t xml:space="preserve"> 193.417,94 kn</w:t>
      </w:r>
      <w:r w:rsidR="008F7A05">
        <w:rPr>
          <w:rFonts w:ascii="Times New Roman" w:hAnsi="Times New Roman" w:cs="Times New Roman"/>
          <w:sz w:val="24"/>
          <w:szCs w:val="24"/>
        </w:rPr>
        <w:t>.</w:t>
      </w:r>
    </w:p>
    <w:p w:rsidR="00B17BC0" w:rsidRDefault="004975B7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164 </w:t>
      </w:r>
      <w:r w:rsidR="00B315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5A7">
        <w:rPr>
          <w:rFonts w:ascii="Times New Roman" w:hAnsi="Times New Roman" w:cs="Times New Roman"/>
          <w:sz w:val="24"/>
          <w:szCs w:val="24"/>
        </w:rPr>
        <w:t>unaprijed plaćeni rashodi budućih razdoblja</w:t>
      </w:r>
      <w:r w:rsidR="0004167E">
        <w:rPr>
          <w:rFonts w:ascii="Times New Roman" w:hAnsi="Times New Roman" w:cs="Times New Roman"/>
          <w:sz w:val="24"/>
          <w:szCs w:val="24"/>
        </w:rPr>
        <w:t xml:space="preserve"> 40.128,36 kn</w:t>
      </w:r>
      <w:r w:rsidR="00B315A7">
        <w:rPr>
          <w:rFonts w:ascii="Times New Roman" w:hAnsi="Times New Roman" w:cs="Times New Roman"/>
          <w:sz w:val="24"/>
          <w:szCs w:val="24"/>
        </w:rPr>
        <w:t xml:space="preserve"> odnose se na plaćene pretplate za stručne časopise, korištenje licenci i premija osiguranja za</w:t>
      </w:r>
      <w:r w:rsidR="008F7A05">
        <w:rPr>
          <w:rFonts w:ascii="Times New Roman" w:hAnsi="Times New Roman" w:cs="Times New Roman"/>
          <w:sz w:val="24"/>
          <w:szCs w:val="24"/>
        </w:rPr>
        <w:t xml:space="preserve"> 2021. godinu.</w:t>
      </w:r>
    </w:p>
    <w:p w:rsidR="00B315A7" w:rsidRDefault="00B315A7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Kontinuirani rashodi</w:t>
      </w:r>
      <w:r w:rsidR="0004167E">
        <w:rPr>
          <w:rFonts w:ascii="Times New Roman" w:hAnsi="Times New Roman" w:cs="Times New Roman"/>
          <w:sz w:val="24"/>
          <w:szCs w:val="24"/>
        </w:rPr>
        <w:t xml:space="preserve"> 1.425.698,82 kn</w:t>
      </w:r>
      <w:r>
        <w:rPr>
          <w:rFonts w:ascii="Times New Roman" w:hAnsi="Times New Roman" w:cs="Times New Roman"/>
          <w:sz w:val="24"/>
          <w:szCs w:val="24"/>
        </w:rPr>
        <w:t xml:space="preserve"> se odnose na plaću zaposlenika</w:t>
      </w:r>
      <w:r w:rsidR="008F7A05">
        <w:rPr>
          <w:rFonts w:ascii="Times New Roman" w:hAnsi="Times New Roman" w:cs="Times New Roman"/>
          <w:sz w:val="24"/>
          <w:szCs w:val="24"/>
        </w:rPr>
        <w:t xml:space="preserve"> za prosinac 2020. godine.</w:t>
      </w:r>
    </w:p>
    <w:p w:rsidR="0004167E" w:rsidRPr="008E3ED6" w:rsidRDefault="0004167E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169 – obveze </w:t>
      </w:r>
      <w:r w:rsidR="00C5480B">
        <w:rPr>
          <w:rFonts w:ascii="Times New Roman" w:hAnsi="Times New Roman" w:cs="Times New Roman"/>
          <w:sz w:val="24"/>
          <w:szCs w:val="24"/>
        </w:rPr>
        <w:t>bilježe ukupno povećanje od 21,4% u odnosu na prethodnu godinu i iznose 4.043.701,92 kn</w:t>
      </w:r>
      <w:r w:rsidR="00C5480B" w:rsidRPr="008E3ED6">
        <w:rPr>
          <w:rFonts w:ascii="Times New Roman" w:hAnsi="Times New Roman" w:cs="Times New Roman"/>
          <w:sz w:val="24"/>
          <w:szCs w:val="24"/>
        </w:rPr>
        <w:t>.  Povećanje obveza rezultat</w:t>
      </w:r>
      <w:r w:rsidR="008E3ED6" w:rsidRPr="008E3ED6">
        <w:rPr>
          <w:rFonts w:ascii="Times New Roman" w:hAnsi="Times New Roman" w:cs="Times New Roman"/>
          <w:sz w:val="24"/>
          <w:szCs w:val="24"/>
        </w:rPr>
        <w:t xml:space="preserve"> je </w:t>
      </w:r>
      <w:r w:rsidR="008E3ED6">
        <w:rPr>
          <w:rFonts w:ascii="Times New Roman" w:hAnsi="Times New Roman" w:cs="Times New Roman"/>
          <w:sz w:val="24"/>
          <w:szCs w:val="24"/>
        </w:rPr>
        <w:t xml:space="preserve">primljenih predujmova </w:t>
      </w:r>
      <w:r w:rsidR="00C5480B" w:rsidRPr="008E3ED6">
        <w:rPr>
          <w:rFonts w:ascii="Times New Roman" w:hAnsi="Times New Roman" w:cs="Times New Roman"/>
          <w:sz w:val="24"/>
          <w:szCs w:val="24"/>
        </w:rPr>
        <w:t xml:space="preserve">za </w:t>
      </w:r>
      <w:r w:rsidR="008E3ED6">
        <w:rPr>
          <w:rFonts w:ascii="Times New Roman" w:hAnsi="Times New Roman" w:cs="Times New Roman"/>
          <w:sz w:val="24"/>
          <w:szCs w:val="24"/>
        </w:rPr>
        <w:t>EU projekte u iznosu</w:t>
      </w:r>
      <w:r w:rsidR="004052DC">
        <w:rPr>
          <w:rFonts w:ascii="Times New Roman" w:hAnsi="Times New Roman" w:cs="Times New Roman"/>
          <w:sz w:val="24"/>
          <w:szCs w:val="24"/>
        </w:rPr>
        <w:t xml:space="preserve"> 1.237</w:t>
      </w:r>
      <w:r w:rsidR="00C5480B" w:rsidRPr="008E3ED6">
        <w:rPr>
          <w:rFonts w:ascii="Times New Roman" w:hAnsi="Times New Roman" w:cs="Times New Roman"/>
          <w:sz w:val="24"/>
          <w:szCs w:val="24"/>
        </w:rPr>
        <w:t>.</w:t>
      </w:r>
      <w:r w:rsidR="004052DC">
        <w:rPr>
          <w:rFonts w:ascii="Times New Roman" w:hAnsi="Times New Roman" w:cs="Times New Roman"/>
          <w:sz w:val="24"/>
          <w:szCs w:val="24"/>
        </w:rPr>
        <w:t>951,58 kn.</w:t>
      </w:r>
    </w:p>
    <w:p w:rsidR="00C5480B" w:rsidRPr="008E3ED6" w:rsidRDefault="00C5480B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8E3ED6">
        <w:rPr>
          <w:rFonts w:ascii="Times New Roman" w:hAnsi="Times New Roman" w:cs="Times New Roman"/>
          <w:sz w:val="24"/>
          <w:szCs w:val="24"/>
        </w:rPr>
        <w:t>AOP 239 – višak prihoda poslovanja u visini 7.335.533,10 kn</w:t>
      </w:r>
      <w:r w:rsidR="000F10D4" w:rsidRPr="008E3ED6">
        <w:rPr>
          <w:rFonts w:ascii="Times New Roman" w:hAnsi="Times New Roman" w:cs="Times New Roman"/>
          <w:sz w:val="24"/>
          <w:szCs w:val="24"/>
        </w:rPr>
        <w:t xml:space="preserve"> nastao je kao rezul</w:t>
      </w:r>
      <w:r w:rsidRPr="008E3ED6">
        <w:rPr>
          <w:rFonts w:ascii="Times New Roman" w:hAnsi="Times New Roman" w:cs="Times New Roman"/>
          <w:sz w:val="24"/>
          <w:szCs w:val="24"/>
        </w:rPr>
        <w:t>tat pre</w:t>
      </w:r>
      <w:r w:rsidR="008E3ED6" w:rsidRPr="008E3ED6">
        <w:rPr>
          <w:rFonts w:ascii="Times New Roman" w:hAnsi="Times New Roman" w:cs="Times New Roman"/>
          <w:sz w:val="24"/>
          <w:szCs w:val="24"/>
        </w:rPr>
        <w:t xml:space="preserve">nesenog viška prihoda </w:t>
      </w:r>
      <w:r w:rsidR="0029712E" w:rsidRPr="008E3ED6">
        <w:rPr>
          <w:rFonts w:ascii="Times New Roman" w:hAnsi="Times New Roman" w:cs="Times New Roman"/>
          <w:sz w:val="24"/>
          <w:szCs w:val="24"/>
        </w:rPr>
        <w:t xml:space="preserve">u visini 4.642.600,00 kn umanjenog za izvršenu obvezu povrata u proračun u </w:t>
      </w:r>
      <w:r w:rsidR="0029712E" w:rsidRPr="008E3ED6">
        <w:rPr>
          <w:rFonts w:ascii="Times New Roman" w:hAnsi="Times New Roman" w:cs="Times New Roman"/>
          <w:sz w:val="24"/>
          <w:szCs w:val="24"/>
        </w:rPr>
        <w:lastRenderedPageBreak/>
        <w:t>visini 935,14 kn te uvećanog za višak prihoda poslovanja tekuće godine u visini 2.693.868,65 kn.</w:t>
      </w:r>
    </w:p>
    <w:p w:rsidR="0029712E" w:rsidRDefault="0029712E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29712E">
        <w:rPr>
          <w:rFonts w:ascii="Times New Roman" w:hAnsi="Times New Roman" w:cs="Times New Roman"/>
          <w:sz w:val="24"/>
          <w:szCs w:val="24"/>
        </w:rPr>
        <w:t>AOP</w:t>
      </w:r>
      <w:r>
        <w:rPr>
          <w:rFonts w:ascii="Times New Roman" w:hAnsi="Times New Roman" w:cs="Times New Roman"/>
          <w:sz w:val="24"/>
          <w:szCs w:val="24"/>
        </w:rPr>
        <w:t xml:space="preserve"> 244 – manjak prihoda od nefinancijske imovine ostvaren je u visini 1.790.069,00 kn</w:t>
      </w:r>
      <w:r w:rsidR="008E3ED6">
        <w:rPr>
          <w:rFonts w:ascii="Times New Roman" w:hAnsi="Times New Roman" w:cs="Times New Roman"/>
          <w:sz w:val="24"/>
          <w:szCs w:val="24"/>
        </w:rPr>
        <w:t>, a odnosi se u cijelosti na rashode za nabavu nefinancijske imovine budući da prihodi za financiranje navedenih rashoda nisu ostvareni.</w:t>
      </w:r>
    </w:p>
    <w:p w:rsidR="00C31B3A" w:rsidRDefault="00C31B3A" w:rsidP="00497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75B7" w:rsidRPr="004975B7" w:rsidRDefault="004975B7" w:rsidP="004975B7">
      <w:pPr>
        <w:spacing w:line="360" w:lineRule="auto"/>
        <w:rPr>
          <w:rFonts w:ascii="Times New Roman" w:hAnsi="Times New Roman" w:cs="Times New Roman"/>
          <w:b/>
        </w:rPr>
      </w:pPr>
      <w:r w:rsidRPr="004975B7">
        <w:rPr>
          <w:rFonts w:ascii="Times New Roman" w:hAnsi="Times New Roman" w:cs="Times New Roman"/>
          <w:b/>
        </w:rPr>
        <w:t>Popis sudskih sudskih sporova u tijeku</w:t>
      </w:r>
    </w:p>
    <w:tbl>
      <w:tblPr>
        <w:tblW w:w="9142" w:type="dxa"/>
        <w:jc w:val="center"/>
        <w:tblLook w:val="04A0" w:firstRow="1" w:lastRow="0" w:firstColumn="1" w:lastColumn="0" w:noHBand="0" w:noVBand="1"/>
      </w:tblPr>
      <w:tblGrid>
        <w:gridCol w:w="532"/>
        <w:gridCol w:w="863"/>
        <w:gridCol w:w="1134"/>
        <w:gridCol w:w="1048"/>
        <w:gridCol w:w="1134"/>
        <w:gridCol w:w="1276"/>
        <w:gridCol w:w="2055"/>
        <w:gridCol w:w="1100"/>
      </w:tblGrid>
      <w:tr w:rsidR="004975B7" w:rsidRPr="00C31B3A" w:rsidTr="00C31B3A">
        <w:trPr>
          <w:trHeight w:val="673"/>
          <w:jc w:val="center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Red.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Br.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Tuženik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Tužitelj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Sažeti opis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prirode spora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Iznos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glavnice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Procjena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financijskog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učinka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8E3ED6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Procijenjeno vrij</w:t>
            </w:r>
            <w:r w:rsidR="004975B7"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eme</w:t>
            </w:r>
            <w:r w:rsidR="004975B7"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odljeva ili priljeva</w:t>
            </w:r>
            <w:r w:rsidR="004975B7"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sredstava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Početak sudskog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spora</w:t>
            </w:r>
          </w:p>
        </w:tc>
      </w:tr>
      <w:tr w:rsidR="004975B7" w:rsidRPr="00C31B3A" w:rsidTr="00C31B3A">
        <w:trPr>
          <w:trHeight w:val="329"/>
          <w:jc w:val="center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Fizička osoba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Tužba za natječaj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16. 10. 2019.</w:t>
            </w:r>
          </w:p>
        </w:tc>
      </w:tr>
      <w:tr w:rsidR="004975B7" w:rsidRPr="00C31B3A" w:rsidTr="00C31B3A">
        <w:trPr>
          <w:trHeight w:val="56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4975B7" w:rsidRDefault="004975B7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BC0" w:rsidRPr="004975B7" w:rsidRDefault="00B17BC0" w:rsidP="00B17BC0">
      <w:pPr>
        <w:jc w:val="both"/>
        <w:rPr>
          <w:rFonts w:ascii="Times New Roman" w:hAnsi="Times New Roman" w:cs="Times New Roman"/>
          <w:b/>
        </w:rPr>
      </w:pPr>
      <w:r w:rsidRPr="004975B7">
        <w:rPr>
          <w:rFonts w:ascii="Times New Roman" w:hAnsi="Times New Roman" w:cs="Times New Roman"/>
          <w:b/>
        </w:rPr>
        <w:t>Popis ugovornih odnosa koji, uz ispunjenje određenih uvjeta, mogu postati obveza ili imovina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87"/>
        <w:gridCol w:w="1134"/>
        <w:gridCol w:w="1417"/>
        <w:gridCol w:w="992"/>
        <w:gridCol w:w="1418"/>
        <w:gridCol w:w="709"/>
        <w:gridCol w:w="997"/>
      </w:tblGrid>
      <w:tr w:rsidR="00C31B3A" w:rsidRPr="00C31B3A" w:rsidTr="00C31B3A">
        <w:trPr>
          <w:trHeight w:val="7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Red.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Datum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izdavanja/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primanja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jamstva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Instrument osiguranja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Iznos danog/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primljenog   jamstva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C3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Primatelj/davatelj jamstva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Namjena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Dokument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Rok</w:t>
            </w: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važenja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5B7" w:rsidRPr="00C31B3A" w:rsidRDefault="004975B7" w:rsidP="00C3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Napomena</w:t>
            </w:r>
          </w:p>
        </w:tc>
      </w:tr>
      <w:tr w:rsidR="00C31B3A" w:rsidRPr="00C31B3A" w:rsidTr="00C31B3A">
        <w:trPr>
          <w:trHeight w:val="10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5. 3. 2019.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Shimadzu d.o.o. Zagreb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Jamstvo za otklanjanje nedostataka u jam.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Ugovor broj: U-EB 53/1/.1</w:t>
            </w: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KLASA: 035-01/19-03/18</w:t>
            </w: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URBROJ: 2158-77-13-19-01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5. 3. 2021.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primljena</w:t>
            </w:r>
          </w:p>
        </w:tc>
      </w:tr>
      <w:tr w:rsidR="00C31B3A" w:rsidRPr="00C31B3A" w:rsidTr="00C31B3A">
        <w:trPr>
          <w:trHeight w:val="8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8. 4. 2019.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InfraTest Adria d.o.o. Zagreb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Jamstvo za otklanjanje nedostataka u jam.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Narudžbenica br.: 223/2019 Račun br.: 52-IFTA1-1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13. 4. 2021.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primljena</w:t>
            </w:r>
          </w:p>
        </w:tc>
      </w:tr>
      <w:tr w:rsidR="00C31B3A" w:rsidRPr="00C31B3A" w:rsidTr="00C31B3A">
        <w:trPr>
          <w:trHeight w:val="101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7. 7. 2020.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3A" w:rsidRDefault="00C31B3A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Bankarska</w:t>
            </w:r>
          </w:p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garancija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21.451,68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Labtim  ADRIA d.o.o. Zagreb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Jamstvo za otklanjanje nedostataka u jam.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Ugovor                             KLASA: 035-01/20-03/30     URBROJ: 2158-77-13-20-01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1. 8. 2022.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primljena</w:t>
            </w:r>
          </w:p>
        </w:tc>
      </w:tr>
      <w:tr w:rsidR="00C31B3A" w:rsidRPr="00C31B3A" w:rsidTr="00C31B3A">
        <w:trPr>
          <w:trHeight w:val="8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13.12.2019.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Hrvatske vode Zagreb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Jamstvo za izvršenje ugovora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Ugovor                                KLASA: 035-01/19-03/64   URBROJ: 2158-77-05-19-01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7510E">
              <w:rPr>
                <w:rFonts w:ascii="Times New Roman" w:hAnsi="Times New Roman" w:cs="Times New Roman"/>
                <w:sz w:val="16"/>
                <w:szCs w:val="16"/>
              </w:rPr>
              <w:t>13. 12. 2021</w:t>
            </w:r>
            <w:r w:rsidRPr="00C31B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izdana</w:t>
            </w:r>
          </w:p>
        </w:tc>
      </w:tr>
      <w:tr w:rsidR="004975B7" w:rsidRPr="00C31B3A" w:rsidTr="00C31B3A">
        <w:trPr>
          <w:trHeight w:val="795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126.451,68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75B7" w:rsidRPr="00C31B3A" w:rsidRDefault="004975B7" w:rsidP="005871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B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B17BC0" w:rsidRPr="004975B7" w:rsidRDefault="00B17BC0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75B7" w:rsidRDefault="004975B7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0E" w:rsidRDefault="00D7510E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0E" w:rsidRDefault="00D7510E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0E" w:rsidRDefault="00D7510E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37B" w:rsidRPr="00FB2A97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lastRenderedPageBreak/>
        <w:t>BILJEŠKE UZ OBRAZAC RAS-funkcijski</w:t>
      </w:r>
    </w:p>
    <w:p w:rsidR="004975B7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110 – u izvještajnom obrascu prikazani su rashodi za obrazovanje prema funkcijskoj klasifikaciji, rashodi su prikazani na način da su razvrstani prema stupnju visoke naobrazbe koja se izvodi na Fakultetu, </w:t>
      </w:r>
      <w:r w:rsidR="008F7A05">
        <w:rPr>
          <w:rFonts w:ascii="Times New Roman" w:hAnsi="Times New Roman" w:cs="Times New Roman"/>
          <w:sz w:val="24"/>
          <w:szCs w:val="24"/>
        </w:rPr>
        <w:t>sukladno tome bilježe se veći rashodi za prvi stupanj obrazovanja u odnosu na drugi stupanj obrazovanja.</w:t>
      </w:r>
    </w:p>
    <w:p w:rsidR="002C437B" w:rsidRPr="00CE65BD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BD">
        <w:rPr>
          <w:rFonts w:ascii="Times New Roman" w:hAnsi="Times New Roman" w:cs="Times New Roman"/>
          <w:b/>
          <w:sz w:val="24"/>
          <w:szCs w:val="24"/>
        </w:rPr>
        <w:t>BILJEŠKE UZ OBRAZAC P-VRIO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u vrijednosti i obujmu imovine i obveza utjecale su na smanjenje u vrijednos</w:t>
      </w:r>
      <w:r w:rsidR="008F7A05">
        <w:rPr>
          <w:rFonts w:ascii="Times New Roman" w:hAnsi="Times New Roman" w:cs="Times New Roman"/>
          <w:sz w:val="24"/>
          <w:szCs w:val="24"/>
        </w:rPr>
        <w:t>ti imovine za 25.205</w:t>
      </w:r>
      <w:r>
        <w:rPr>
          <w:rFonts w:ascii="Times New Roman" w:hAnsi="Times New Roman" w:cs="Times New Roman"/>
          <w:sz w:val="24"/>
          <w:szCs w:val="24"/>
        </w:rPr>
        <w:t>,00 kn uslijed r</w:t>
      </w:r>
      <w:r w:rsidR="008F7A05">
        <w:rPr>
          <w:rFonts w:ascii="Times New Roman" w:hAnsi="Times New Roman" w:cs="Times New Roman"/>
          <w:sz w:val="24"/>
          <w:szCs w:val="24"/>
        </w:rPr>
        <w:t>ashoda osnovnih sredstava u 2020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8F7A05">
        <w:rPr>
          <w:rFonts w:ascii="Times New Roman" w:hAnsi="Times New Roman" w:cs="Times New Roman"/>
          <w:sz w:val="24"/>
          <w:szCs w:val="24"/>
        </w:rPr>
        <w:t>, a do promjena u obujmu nefinancijske imovine došlo je uslijed evidentiranja knjiga u izdanju Fakulteta u ukupnom iznosu 17.110,00 kn.</w:t>
      </w:r>
    </w:p>
    <w:p w:rsidR="004975B7" w:rsidRDefault="004975B7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7B" w:rsidRPr="00FF34BE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4BE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</w:t>
      </w:r>
      <w:r w:rsidR="00C9046E">
        <w:rPr>
          <w:rFonts w:ascii="Times New Roman" w:hAnsi="Times New Roman" w:cs="Times New Roman"/>
          <w:sz w:val="24"/>
          <w:szCs w:val="24"/>
        </w:rPr>
        <w:t xml:space="preserve">2 i AOP 019 – u izvještajnom razdoblju povećanja obveza iznosi 30.835.117,00 kn, a smanjenje obveza u izvještajnom razdoblju iznosi 29.758.893,00 kn. Povećanje obveza rezultat je primljenih predujmova za EU projekte u iznosu </w:t>
      </w:r>
      <w:r w:rsidR="004052DC">
        <w:rPr>
          <w:rFonts w:ascii="Times New Roman" w:hAnsi="Times New Roman" w:cs="Times New Roman"/>
          <w:sz w:val="24"/>
          <w:szCs w:val="24"/>
        </w:rPr>
        <w:t>1.237</w:t>
      </w:r>
      <w:r w:rsidR="004052DC" w:rsidRPr="008E3ED6">
        <w:rPr>
          <w:rFonts w:ascii="Times New Roman" w:hAnsi="Times New Roman" w:cs="Times New Roman"/>
          <w:sz w:val="24"/>
          <w:szCs w:val="24"/>
        </w:rPr>
        <w:t>.</w:t>
      </w:r>
      <w:r w:rsidR="004052DC">
        <w:rPr>
          <w:rFonts w:ascii="Times New Roman" w:hAnsi="Times New Roman" w:cs="Times New Roman"/>
          <w:sz w:val="24"/>
          <w:szCs w:val="24"/>
        </w:rPr>
        <w:t>951,58 kn.</w:t>
      </w:r>
    </w:p>
    <w:p w:rsidR="004052DC" w:rsidRDefault="004052DC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036 i AOP 037 – za dospjele i nedospjele obveze osigurani su prihodi za podmirenje istih.</w:t>
      </w: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29. siječnja 2021</w:t>
      </w:r>
      <w:r w:rsidR="00793AB8">
        <w:rPr>
          <w:rFonts w:ascii="Times New Roman" w:hAnsi="Times New Roman" w:cs="Times New Roman"/>
          <w:sz w:val="24"/>
          <w:szCs w:val="24"/>
        </w:rPr>
        <w:t>. godine.</w:t>
      </w: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B3A" w:rsidRDefault="00C31B3A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C31B3A" w:rsidP="00C31B3A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3A">
        <w:rPr>
          <w:rFonts w:ascii="Times New Roman" w:hAnsi="Times New Roman" w:cs="Times New Roman"/>
          <w:b/>
          <w:sz w:val="24"/>
          <w:szCs w:val="24"/>
        </w:rPr>
        <w:t>DEKAN</w:t>
      </w:r>
    </w:p>
    <w:p w:rsidR="00C31B3A" w:rsidRDefault="00C31B3A" w:rsidP="00C31B3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A97" w:rsidRPr="00F2520E" w:rsidRDefault="00793AB8" w:rsidP="00C31B3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3A">
        <w:rPr>
          <w:rFonts w:ascii="Times New Roman" w:hAnsi="Times New Roman" w:cs="Times New Roman"/>
          <w:sz w:val="24"/>
          <w:szCs w:val="24"/>
        </w:rPr>
        <w:t>prof.</w:t>
      </w:r>
      <w:r w:rsidR="00C31B3A" w:rsidRPr="00C31B3A">
        <w:rPr>
          <w:rFonts w:ascii="Times New Roman" w:hAnsi="Times New Roman" w:cs="Times New Roman"/>
          <w:sz w:val="24"/>
          <w:szCs w:val="24"/>
        </w:rPr>
        <w:t xml:space="preserve"> </w:t>
      </w:r>
      <w:r w:rsidRPr="00C31B3A">
        <w:rPr>
          <w:rFonts w:ascii="Times New Roman" w:hAnsi="Times New Roman" w:cs="Times New Roman"/>
          <w:sz w:val="24"/>
          <w:szCs w:val="24"/>
        </w:rPr>
        <w:t>dr.</w:t>
      </w:r>
      <w:r w:rsidR="00C31B3A" w:rsidRPr="00C31B3A">
        <w:rPr>
          <w:rFonts w:ascii="Times New Roman" w:hAnsi="Times New Roman" w:cs="Times New Roman"/>
          <w:sz w:val="24"/>
          <w:szCs w:val="24"/>
        </w:rPr>
        <w:t xml:space="preserve"> </w:t>
      </w:r>
      <w:r w:rsidRPr="00C31B3A">
        <w:rPr>
          <w:rFonts w:ascii="Times New Roman" w:hAnsi="Times New Roman" w:cs="Times New Roman"/>
          <w:sz w:val="24"/>
          <w:szCs w:val="24"/>
        </w:rPr>
        <w:t>sc. Damir Varevac</w:t>
      </w:r>
    </w:p>
    <w:sectPr w:rsidR="00FB2A97" w:rsidRPr="00F2520E" w:rsidSect="00A01677">
      <w:footerReference w:type="default" r:id="rId8"/>
      <w:pgSz w:w="11907" w:h="16840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97" w:rsidRDefault="00E97997" w:rsidP="000759E8">
      <w:pPr>
        <w:spacing w:after="0" w:line="240" w:lineRule="auto"/>
      </w:pPr>
      <w:r>
        <w:separator/>
      </w:r>
    </w:p>
  </w:endnote>
  <w:endnote w:type="continuationSeparator" w:id="0">
    <w:p w:rsidR="00E97997" w:rsidRDefault="00E97997" w:rsidP="000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14519"/>
      <w:docPartObj>
        <w:docPartGallery w:val="Page Numbers (Bottom of Page)"/>
        <w:docPartUnique/>
      </w:docPartObj>
    </w:sdtPr>
    <w:sdtEndPr/>
    <w:sdtContent>
      <w:p w:rsidR="000759E8" w:rsidRDefault="00075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C6C">
          <w:rPr>
            <w:noProof/>
          </w:rPr>
          <w:t>4</w:t>
        </w:r>
        <w:r>
          <w:fldChar w:fldCharType="end"/>
        </w:r>
      </w:p>
    </w:sdtContent>
  </w:sdt>
  <w:p w:rsidR="000759E8" w:rsidRDefault="0007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97" w:rsidRDefault="00E97997" w:rsidP="000759E8">
      <w:pPr>
        <w:spacing w:after="0" w:line="240" w:lineRule="auto"/>
      </w:pPr>
      <w:r>
        <w:separator/>
      </w:r>
    </w:p>
  </w:footnote>
  <w:footnote w:type="continuationSeparator" w:id="0">
    <w:p w:rsidR="00E97997" w:rsidRDefault="00E97997" w:rsidP="0007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A0D"/>
    <w:multiLevelType w:val="hybridMultilevel"/>
    <w:tmpl w:val="3496A48C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82E"/>
    <w:multiLevelType w:val="hybridMultilevel"/>
    <w:tmpl w:val="59384DDE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29"/>
    <w:rsid w:val="00037F83"/>
    <w:rsid w:val="0004167E"/>
    <w:rsid w:val="0004692F"/>
    <w:rsid w:val="00053008"/>
    <w:rsid w:val="000759E8"/>
    <w:rsid w:val="0009195E"/>
    <w:rsid w:val="000924F3"/>
    <w:rsid w:val="000B02C1"/>
    <w:rsid w:val="000B6B07"/>
    <w:rsid w:val="000D2DFE"/>
    <w:rsid w:val="000F10D4"/>
    <w:rsid w:val="00107B2F"/>
    <w:rsid w:val="00131422"/>
    <w:rsid w:val="00132CCE"/>
    <w:rsid w:val="00177564"/>
    <w:rsid w:val="001844F6"/>
    <w:rsid w:val="0018492C"/>
    <w:rsid w:val="001B4511"/>
    <w:rsid w:val="001C687B"/>
    <w:rsid w:val="001E32E8"/>
    <w:rsid w:val="00206C5F"/>
    <w:rsid w:val="00227898"/>
    <w:rsid w:val="00241865"/>
    <w:rsid w:val="00272A43"/>
    <w:rsid w:val="0029712E"/>
    <w:rsid w:val="002B7630"/>
    <w:rsid w:val="002C437B"/>
    <w:rsid w:val="002D4E82"/>
    <w:rsid w:val="0037311B"/>
    <w:rsid w:val="003901A1"/>
    <w:rsid w:val="003D4A95"/>
    <w:rsid w:val="004052DC"/>
    <w:rsid w:val="0041530D"/>
    <w:rsid w:val="00450DF8"/>
    <w:rsid w:val="004524F9"/>
    <w:rsid w:val="00452C78"/>
    <w:rsid w:val="00462592"/>
    <w:rsid w:val="00471368"/>
    <w:rsid w:val="00490F94"/>
    <w:rsid w:val="00496925"/>
    <w:rsid w:val="004975B7"/>
    <w:rsid w:val="004A6096"/>
    <w:rsid w:val="005165BB"/>
    <w:rsid w:val="005641F6"/>
    <w:rsid w:val="00567976"/>
    <w:rsid w:val="005856FB"/>
    <w:rsid w:val="00597BC4"/>
    <w:rsid w:val="005C117D"/>
    <w:rsid w:val="00624DC8"/>
    <w:rsid w:val="00640DC7"/>
    <w:rsid w:val="0068118F"/>
    <w:rsid w:val="00683E29"/>
    <w:rsid w:val="006C2065"/>
    <w:rsid w:val="006C362D"/>
    <w:rsid w:val="006D793B"/>
    <w:rsid w:val="00775457"/>
    <w:rsid w:val="00793AB8"/>
    <w:rsid w:val="007B000D"/>
    <w:rsid w:val="007B1364"/>
    <w:rsid w:val="007D12B4"/>
    <w:rsid w:val="007D585F"/>
    <w:rsid w:val="007F2A05"/>
    <w:rsid w:val="00832D1F"/>
    <w:rsid w:val="00851077"/>
    <w:rsid w:val="0088303C"/>
    <w:rsid w:val="008A4C44"/>
    <w:rsid w:val="008B5855"/>
    <w:rsid w:val="008C0D18"/>
    <w:rsid w:val="008E3ED6"/>
    <w:rsid w:val="008F7A05"/>
    <w:rsid w:val="00915CB8"/>
    <w:rsid w:val="00952A27"/>
    <w:rsid w:val="00954514"/>
    <w:rsid w:val="00990BA4"/>
    <w:rsid w:val="009C042F"/>
    <w:rsid w:val="009C7875"/>
    <w:rsid w:val="00A01677"/>
    <w:rsid w:val="00A1186B"/>
    <w:rsid w:val="00A14616"/>
    <w:rsid w:val="00A23036"/>
    <w:rsid w:val="00A4068B"/>
    <w:rsid w:val="00A63424"/>
    <w:rsid w:val="00A800C3"/>
    <w:rsid w:val="00AA2C4D"/>
    <w:rsid w:val="00AB127E"/>
    <w:rsid w:val="00AB6E4B"/>
    <w:rsid w:val="00AD040B"/>
    <w:rsid w:val="00AE4571"/>
    <w:rsid w:val="00B17BC0"/>
    <w:rsid w:val="00B315A7"/>
    <w:rsid w:val="00B52935"/>
    <w:rsid w:val="00B70360"/>
    <w:rsid w:val="00B90FB6"/>
    <w:rsid w:val="00BA0709"/>
    <w:rsid w:val="00BA2D07"/>
    <w:rsid w:val="00BB3C71"/>
    <w:rsid w:val="00C02E92"/>
    <w:rsid w:val="00C055BC"/>
    <w:rsid w:val="00C21ED5"/>
    <w:rsid w:val="00C2271C"/>
    <w:rsid w:val="00C31B3A"/>
    <w:rsid w:val="00C336FA"/>
    <w:rsid w:val="00C44F93"/>
    <w:rsid w:val="00C5480B"/>
    <w:rsid w:val="00C9046E"/>
    <w:rsid w:val="00CA2A9D"/>
    <w:rsid w:val="00CB0197"/>
    <w:rsid w:val="00CC4100"/>
    <w:rsid w:val="00CD5C6C"/>
    <w:rsid w:val="00CE65BD"/>
    <w:rsid w:val="00D1330B"/>
    <w:rsid w:val="00D7510E"/>
    <w:rsid w:val="00DB5B0E"/>
    <w:rsid w:val="00DD6CF1"/>
    <w:rsid w:val="00DF0787"/>
    <w:rsid w:val="00E204AB"/>
    <w:rsid w:val="00E415DD"/>
    <w:rsid w:val="00E516FE"/>
    <w:rsid w:val="00E56D8B"/>
    <w:rsid w:val="00E97997"/>
    <w:rsid w:val="00EA2D42"/>
    <w:rsid w:val="00ED06DD"/>
    <w:rsid w:val="00EE3E1B"/>
    <w:rsid w:val="00EE3F2A"/>
    <w:rsid w:val="00F00A35"/>
    <w:rsid w:val="00F13D16"/>
    <w:rsid w:val="00F2520E"/>
    <w:rsid w:val="00F54C2A"/>
    <w:rsid w:val="00F671C3"/>
    <w:rsid w:val="00F822CA"/>
    <w:rsid w:val="00F84B3A"/>
    <w:rsid w:val="00FA5FCB"/>
    <w:rsid w:val="00FB2A97"/>
    <w:rsid w:val="00FE636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5219"/>
  <w15:chartTrackingRefBased/>
  <w15:docId w15:val="{6EE59066-EF9E-48D9-9065-E3705DB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F8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2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E8"/>
  </w:style>
  <w:style w:type="paragraph" w:styleId="Footer">
    <w:name w:val="footer"/>
    <w:basedOn w:val="Normal"/>
    <w:link w:val="Foot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E8"/>
  </w:style>
  <w:style w:type="paragraph" w:styleId="ListParagraph">
    <w:name w:val="List Paragraph"/>
    <w:basedOn w:val="Normal"/>
    <w:uiPriority w:val="34"/>
    <w:qFormat/>
    <w:rsid w:val="004524F9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0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62F7-6107-4E08-959C-84BF700B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akrajina</cp:lastModifiedBy>
  <cp:revision>4</cp:revision>
  <cp:lastPrinted>2021-01-30T19:14:00Z</cp:lastPrinted>
  <dcterms:created xsi:type="dcterms:W3CDTF">2021-01-30T19:16:00Z</dcterms:created>
  <dcterms:modified xsi:type="dcterms:W3CDTF">2021-02-05T09:39:00Z</dcterms:modified>
</cp:coreProperties>
</file>