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C2" w:rsidRDefault="00150ACA">
      <w:r>
        <w:t>Pitanja za obranu Programa iz kolegija Simulacije prometa u gradskoj mreži:</w:t>
      </w:r>
      <w:bookmarkStart w:id="0" w:name="_GoBack"/>
      <w:bookmarkEnd w:id="0"/>
    </w:p>
    <w:p w:rsidR="007A3A0E" w:rsidRDefault="007A3A0E" w:rsidP="007A3A0E">
      <w:pPr>
        <w:pStyle w:val="ListParagraph"/>
        <w:numPr>
          <w:ilvl w:val="0"/>
          <w:numId w:val="1"/>
        </w:numPr>
      </w:pPr>
      <w:r>
        <w:t>Što je model?</w:t>
      </w:r>
    </w:p>
    <w:p w:rsidR="007A3A0E" w:rsidRDefault="007A3A0E" w:rsidP="007A3A0E">
      <w:pPr>
        <w:pStyle w:val="ListParagraph"/>
        <w:numPr>
          <w:ilvl w:val="0"/>
          <w:numId w:val="1"/>
        </w:numPr>
      </w:pPr>
      <w:r>
        <w:t>Što je simulacija?</w:t>
      </w:r>
    </w:p>
    <w:p w:rsidR="007A3A0E" w:rsidRDefault="003B13D0" w:rsidP="007A3A0E">
      <w:pPr>
        <w:pStyle w:val="ListParagraph"/>
        <w:numPr>
          <w:ilvl w:val="0"/>
          <w:numId w:val="1"/>
        </w:numPr>
      </w:pPr>
      <w:r>
        <w:t>Zašto</w:t>
      </w:r>
      <w:r w:rsidR="007A3A0E">
        <w:t xml:space="preserve"> se koriste simulacije?</w:t>
      </w:r>
    </w:p>
    <w:p w:rsidR="007A3A0E" w:rsidRDefault="007A3A0E" w:rsidP="007A3A0E">
      <w:pPr>
        <w:pStyle w:val="ListParagraph"/>
        <w:numPr>
          <w:ilvl w:val="0"/>
          <w:numId w:val="1"/>
        </w:numPr>
      </w:pPr>
      <w:r>
        <w:t>Tri razine prometnog modeliranja – osnovne karakteristike svake razine, modeli</w:t>
      </w:r>
    </w:p>
    <w:p w:rsidR="003B13D0" w:rsidRDefault="003B13D0" w:rsidP="007A3A0E">
      <w:pPr>
        <w:pStyle w:val="ListParagraph"/>
        <w:numPr>
          <w:ilvl w:val="0"/>
          <w:numId w:val="1"/>
        </w:numPr>
      </w:pPr>
      <w:r>
        <w:t>Vremenski i prostorni dosezi prometnih modela</w:t>
      </w:r>
    </w:p>
    <w:p w:rsidR="003B13D0" w:rsidRDefault="003B13D0" w:rsidP="007A3A0E">
      <w:pPr>
        <w:pStyle w:val="ListParagraph"/>
        <w:numPr>
          <w:ilvl w:val="0"/>
          <w:numId w:val="1"/>
        </w:numPr>
      </w:pPr>
      <w:r>
        <w:t>Osnovni dijagram prometnog toka – makropokazatelji. Objasniti. Nacrtati.</w:t>
      </w:r>
    </w:p>
    <w:p w:rsidR="003B13D0" w:rsidRDefault="003B13D0" w:rsidP="007A3A0E">
      <w:pPr>
        <w:pStyle w:val="ListParagraph"/>
        <w:numPr>
          <w:ilvl w:val="0"/>
          <w:numId w:val="1"/>
        </w:numPr>
      </w:pPr>
      <w:r>
        <w:t>Prikupljanje podataka – srednja prostorna i srednja vremenska brzina prometnog toka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Makro i mikro pokazatelji prometnog toka. Objasniti.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Matematički modeli unutar VISSIM-a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Struktura simulatora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Model prihvatljivih vremenskih praznina – objaniti. Objasniti pojmove prihvatljiva vremenska praznina (gap time) i dužina konfliktnog područja (headway)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Model kolone vozila – Wiedermann-ov dijagram – objasniti koje 4 situacije opisuje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Model prestrojavanja – obvezno mijenjanje traka i slobodno mijenjanje traka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Kalibracija modela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Semaforski cuklus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Utjecaj broja faza u semafoskom ciklusu na protočnst i sigurnost prometa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Što je međuvrijeme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Što je sve crveno vrijeme i zašto se uvodi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Koji su ulazni podatci potrebni za projektiranje plana faza</w:t>
      </w:r>
    </w:p>
    <w:p w:rsidR="003B13D0" w:rsidRDefault="003B13D0" w:rsidP="003B13D0">
      <w:pPr>
        <w:pStyle w:val="ListParagraph"/>
        <w:numPr>
          <w:ilvl w:val="0"/>
          <w:numId w:val="1"/>
        </w:numPr>
      </w:pPr>
      <w:r>
        <w:t>Tri osnovna tipa upravljanja semaforskom signalizacijom</w:t>
      </w:r>
    </w:p>
    <w:sectPr w:rsidR="003B1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60E5"/>
    <w:multiLevelType w:val="hybridMultilevel"/>
    <w:tmpl w:val="1C507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0E"/>
    <w:rsid w:val="00150ACA"/>
    <w:rsid w:val="003B13D0"/>
    <w:rsid w:val="007A3A0E"/>
    <w:rsid w:val="00A845C2"/>
    <w:rsid w:val="00D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98CA"/>
  <w15:chartTrackingRefBased/>
  <w15:docId w15:val="{2B55158B-1A00-4913-97C3-B7460249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2017-12-18T11:28:00Z</dcterms:created>
  <dcterms:modified xsi:type="dcterms:W3CDTF">2018-12-27T09:52:00Z</dcterms:modified>
</cp:coreProperties>
</file>