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1079B" w14:textId="77777777" w:rsidR="00375762" w:rsidRPr="00421C1A" w:rsidRDefault="00375762" w:rsidP="00375762">
      <w:pPr>
        <w:jc w:val="both"/>
        <w:rPr>
          <w:sz w:val="20"/>
          <w:szCs w:val="20"/>
        </w:rPr>
      </w:pPr>
      <w:bookmarkStart w:id="0" w:name="_Hlk162253156"/>
      <w:r w:rsidRPr="00421C1A">
        <w:rPr>
          <w:sz w:val="20"/>
          <w:szCs w:val="20"/>
        </w:rPr>
        <w:t>KLASA: 400-02/24-01/00001</w:t>
      </w:r>
    </w:p>
    <w:p w14:paraId="294D83E0" w14:textId="41FB1CBB" w:rsidR="00375762" w:rsidRPr="00421C1A" w:rsidRDefault="00375762" w:rsidP="00375762">
      <w:pPr>
        <w:jc w:val="both"/>
        <w:rPr>
          <w:sz w:val="20"/>
          <w:szCs w:val="20"/>
        </w:rPr>
      </w:pPr>
      <w:r w:rsidRPr="00421C1A">
        <w:rPr>
          <w:sz w:val="20"/>
          <w:szCs w:val="20"/>
        </w:rPr>
        <w:t>URBROJ: 2158-77-10-24-0000</w:t>
      </w:r>
      <w:r w:rsidR="005D28E5" w:rsidRPr="00421C1A">
        <w:rPr>
          <w:sz w:val="20"/>
          <w:szCs w:val="20"/>
        </w:rPr>
        <w:t>2</w:t>
      </w:r>
    </w:p>
    <w:bookmarkEnd w:id="0"/>
    <w:p w14:paraId="43661948" w14:textId="191597FC" w:rsidR="004C5EF9" w:rsidRPr="00421C1A" w:rsidRDefault="004C5EF9" w:rsidP="004C5EF9">
      <w:pPr>
        <w:rPr>
          <w:sz w:val="20"/>
          <w:szCs w:val="20"/>
        </w:rPr>
      </w:pPr>
    </w:p>
    <w:p w14:paraId="6B889C3A" w14:textId="397E11B5" w:rsidR="004C5EF9" w:rsidRPr="00860C12" w:rsidRDefault="004C5EF9" w:rsidP="00996C61">
      <w:pPr>
        <w:jc w:val="center"/>
        <w:rPr>
          <w:b/>
        </w:rPr>
      </w:pPr>
    </w:p>
    <w:p w14:paraId="7C3C3EFF" w14:textId="77777777" w:rsidR="004C5EF9" w:rsidRPr="00860C12" w:rsidRDefault="004C5EF9" w:rsidP="00996C61">
      <w:pPr>
        <w:jc w:val="center"/>
        <w:rPr>
          <w:b/>
        </w:rPr>
      </w:pPr>
    </w:p>
    <w:p w14:paraId="44C45F0D" w14:textId="77777777" w:rsidR="00F26B96" w:rsidRDefault="00F26B96" w:rsidP="00F26B96">
      <w:pPr>
        <w:jc w:val="center"/>
        <w:rPr>
          <w:b/>
        </w:rPr>
      </w:pPr>
      <w:r w:rsidRPr="00D847F9">
        <w:rPr>
          <w:b/>
        </w:rPr>
        <w:t xml:space="preserve">OBRAZLOŽENJE </w:t>
      </w:r>
      <w:r>
        <w:rPr>
          <w:b/>
        </w:rPr>
        <w:t xml:space="preserve">POSEBNOG DIJELA IZVRŠENJA </w:t>
      </w:r>
      <w:r w:rsidRPr="00D847F9">
        <w:rPr>
          <w:b/>
        </w:rPr>
        <w:t xml:space="preserve">FINANCIJSKOG PLANA </w:t>
      </w:r>
    </w:p>
    <w:p w14:paraId="3C7F5C86" w14:textId="77777777" w:rsidR="00F26B96" w:rsidRPr="00D847F9" w:rsidRDefault="00F26B96" w:rsidP="00F26B96">
      <w:pPr>
        <w:jc w:val="center"/>
        <w:rPr>
          <w:b/>
        </w:rPr>
      </w:pPr>
      <w:r w:rsidRPr="00D847F9">
        <w:rPr>
          <w:b/>
        </w:rPr>
        <w:t>ZA 2023. GODINU</w:t>
      </w:r>
    </w:p>
    <w:p w14:paraId="7D0D629C" w14:textId="77777777" w:rsidR="00F26B96" w:rsidRPr="00D847F9" w:rsidRDefault="00F26B96" w:rsidP="00F26B96">
      <w:pPr>
        <w:jc w:val="center"/>
        <w:rPr>
          <w:b/>
        </w:rPr>
      </w:pPr>
    </w:p>
    <w:p w14:paraId="058CE406" w14:textId="77777777" w:rsidR="00F26B96" w:rsidRPr="00D847F9" w:rsidRDefault="00F26B96" w:rsidP="00F26B96">
      <w:pPr>
        <w:jc w:val="center"/>
        <w:rPr>
          <w:b/>
        </w:rPr>
      </w:pPr>
    </w:p>
    <w:p w14:paraId="09147CA5" w14:textId="77777777" w:rsidR="00F26B96" w:rsidRPr="00D847F9" w:rsidRDefault="00F26B96" w:rsidP="00F26B96">
      <w:pPr>
        <w:spacing w:line="360" w:lineRule="auto"/>
        <w:rPr>
          <w:b/>
          <w:bCs/>
        </w:rPr>
      </w:pPr>
      <w:r w:rsidRPr="00D847F9">
        <w:t>Sveučilište Josipa Jurja Strossmayera u Osijeku, Građevinski i arhitektonski fakultet Osijek</w:t>
      </w:r>
    </w:p>
    <w:p w14:paraId="71FE7DD6" w14:textId="77777777" w:rsidR="00F26B96" w:rsidRPr="00D847F9" w:rsidRDefault="00F26B96" w:rsidP="00F26B96">
      <w:pPr>
        <w:spacing w:line="360" w:lineRule="auto"/>
        <w:rPr>
          <w:b/>
          <w:bCs/>
        </w:rPr>
      </w:pPr>
      <w:r w:rsidRPr="00D847F9">
        <w:t xml:space="preserve">Razdjel: 080 Razdjel Ministarstvo znanosti i obrazovanja </w:t>
      </w:r>
    </w:p>
    <w:p w14:paraId="4B2E67EA" w14:textId="77777777" w:rsidR="00F26B96" w:rsidRPr="00D847F9" w:rsidRDefault="00F26B96" w:rsidP="00F26B96">
      <w:pPr>
        <w:spacing w:line="360" w:lineRule="auto"/>
        <w:rPr>
          <w:b/>
          <w:bCs/>
        </w:rPr>
      </w:pPr>
    </w:p>
    <w:p w14:paraId="4E554882" w14:textId="77777777" w:rsidR="00F26B96" w:rsidRPr="00D847F9" w:rsidRDefault="00F26B96" w:rsidP="00F26B9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BFBFBF" w:themeFill="background1" w:themeFillShade="BF"/>
        <w:spacing w:after="160" w:line="259" w:lineRule="auto"/>
        <w:jc w:val="both"/>
        <w:rPr>
          <w:rFonts w:eastAsiaTheme="minorHAnsi"/>
          <w:b/>
          <w:lang w:eastAsia="en-US"/>
        </w:rPr>
      </w:pPr>
      <w:r w:rsidRPr="00D847F9">
        <w:rPr>
          <w:rFonts w:eastAsiaTheme="minorHAnsi"/>
          <w:b/>
          <w:lang w:eastAsia="en-US"/>
        </w:rPr>
        <w:t>Sažetak djelokruga rada proračunskog korisnika</w:t>
      </w:r>
    </w:p>
    <w:p w14:paraId="38CB8E86" w14:textId="77777777" w:rsidR="00F26B96" w:rsidRPr="00D847F9" w:rsidRDefault="00F26B96" w:rsidP="00F26B96">
      <w:pPr>
        <w:spacing w:line="360" w:lineRule="auto"/>
      </w:pPr>
      <w:r w:rsidRPr="00D847F9">
        <w:t>Djelatnost Fakulteta je:</w:t>
      </w:r>
    </w:p>
    <w:p w14:paraId="742788B6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1. visoko obrazovanje</w:t>
      </w:r>
    </w:p>
    <w:p w14:paraId="2BB4ACBF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2. ustroj i izvođenje sveučilišnih i stručnih studija</w:t>
      </w:r>
    </w:p>
    <w:p w14:paraId="4D53F453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3. znanstveno-istraživački rad u znanstvenim područjima Tehničke znanosti i Interdisciplinarne tehničke znanosti</w:t>
      </w:r>
    </w:p>
    <w:p w14:paraId="28D1054C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4. znanstveno-istraživački rad u znanstvenim poljima Građevinarstvo, Arhitektura i urbanizam, Geodezija i Interdisciplinarne tehničke znanosti</w:t>
      </w:r>
    </w:p>
    <w:p w14:paraId="75C4F2B9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5. organizacija i izvođenje programa stručnog usavršavanja, osposobljavanja te programa cjeloživotnog učenja</w:t>
      </w:r>
    </w:p>
    <w:p w14:paraId="1FA0934D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6. organizacija i izvođenje Programa izobrazbe za osobe koje provode energetske preglede i energetsko certificiranje zgrada</w:t>
      </w:r>
    </w:p>
    <w:p w14:paraId="6E3FC09E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7. suradnja s visokoobrazovnim institucijama i znanstvenim institutima u zemlji i inozemstvu</w:t>
      </w:r>
    </w:p>
    <w:p w14:paraId="1ECD70D3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8. organizacija znanstvenih i stručnih domaćih i međunarodnih simpozija, savjetovanja, konferencija, kongresa i sajmova</w:t>
      </w:r>
    </w:p>
    <w:p w14:paraId="4A6E1935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9. izdavanje znanstvenih i stručnih časopisa iz znanstvenog područja tehničkih znanosti</w:t>
      </w:r>
    </w:p>
    <w:p w14:paraId="7CC9D5D3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10. izdavačka, knjižnična i informatička djelatnost za potrebe nastave, znanstvenog i stručnog rada</w:t>
      </w:r>
    </w:p>
    <w:p w14:paraId="661CFC1B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11. ispitivanja materijala, određenih dijelova ili cijele građevine u svrhu provjere, odnosno dokazivanja ispunjavanja temeljnih zahtjeva za građevinu i/ili drugih zahtjeva, odnosno uvjeta predviđenih glavnim projektom ili izvješćem o obavljenoj kontroli projekta</w:t>
      </w:r>
    </w:p>
    <w:p w14:paraId="01008CC7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12. kontrolna ispitivanja materijala koja se provode na temelju posebnih propisa, projekta građevine ili sumnje</w:t>
      </w:r>
    </w:p>
    <w:p w14:paraId="0D25502A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13. utvrđivanje uvjeta za građenje (temeljno tlo, geološke, hidrološke, hidrotehničke, seizmičke, prometne, okolišne i druge uvjete)</w:t>
      </w:r>
    </w:p>
    <w:p w14:paraId="6B8112A1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lastRenderedPageBreak/>
        <w:t>14. utvrđivanje stanja materijala i građevine u odnosu na ispunjavanje temeljnih zahtjeva za građevinu</w:t>
      </w:r>
    </w:p>
    <w:p w14:paraId="51B498BF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15. prijevoz za vlastite potrebe</w:t>
      </w:r>
    </w:p>
    <w:p w14:paraId="1854A8FD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16. ostala trgovina na malo izvan prodavaonica, štandova i tržnica, prodaja promotivnih proizvoda i materijala za potrebe promidžbe Fakulteta te prodaja vlastitih izdanja</w:t>
      </w:r>
    </w:p>
    <w:p w14:paraId="02E39DF9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17. obavljanje stručnih poslova i djelatnosti (izrada studija, elaborata, stručnih mišljenja, savjetovanja, kontrola, nadzora, recenzija i sl.) u području graditeljstva, arhitekture i urbanizma,  geodezije, prostornog uređenja, projektiranja, stručnog nadzora, građenja, upravljanja projektima građenja te ispitivanja i prethodnih istraživanja</w:t>
      </w:r>
    </w:p>
    <w:p w14:paraId="71300570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18. građevinsko i arhitektonsko projektiranje i izrada natječajne dokumentacije</w:t>
      </w:r>
    </w:p>
    <w:p w14:paraId="5A4D8B6E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19. provođenje tehničkih ispitivanja i analiza građevina</w:t>
      </w:r>
    </w:p>
    <w:p w14:paraId="6BEAE189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20. obavljanje stručnih poslova zaštite okoliša</w:t>
      </w:r>
    </w:p>
    <w:p w14:paraId="2CDB3829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21. suradnja u izradi građevinske regulative (smjernice, propisi, standardi, zakoni)</w:t>
      </w:r>
    </w:p>
    <w:p w14:paraId="71064C3E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22. kontrola projekata u pogledu sigurnosti, funkcionalnosti i ekonomičnosti</w:t>
      </w:r>
    </w:p>
    <w:p w14:paraId="19A7CE14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23. obavljanje recenzentskih poslova i provedba stručnih vještačenja</w:t>
      </w:r>
    </w:p>
    <w:p w14:paraId="559989F0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24. savjetovanja u području građevinarstva, arhitekture i urbanizma te geodezije</w:t>
      </w:r>
    </w:p>
    <w:p w14:paraId="7E4DB09F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25. organiziranje i provođenje energetskih pregleda i energetsko certificiranje zgrada s jednostavnim i sa složenim tehničkim sustavom te ostalih građevina u dijelu koji se odnosi na arhitektonsko-građevinski dio</w:t>
      </w:r>
    </w:p>
    <w:p w14:paraId="057DCE4F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26. tehnološka unaprjeđenja, racionalizacije i inovacije u održivoj gradnji i održivom korištenju prostora</w:t>
      </w:r>
    </w:p>
    <w:p w14:paraId="46605AA1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27. izrada nacrta prostornih planova i nacrta izvješća o stanju u prostoru te obavljanje poslova u vezi s pripremom i donošenjem prostornih planova i izvješća o stanju u prostoru</w:t>
      </w:r>
    </w:p>
    <w:p w14:paraId="7981B996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28. izrada natječajnih elaborata za provođenje natječaja s područja arhitekture, urbanizma, unutarnjeg uređenja i uređenja krajobraza</w:t>
      </w:r>
    </w:p>
    <w:p w14:paraId="00B9AD4D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29. izrada i vođenje registra objekata i infrastrukture te praćenje građevnog stanja, stanja eksploatacije i stanja održavanja</w:t>
      </w:r>
    </w:p>
    <w:p w14:paraId="6E3A158C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30. izrada elaborata stalnih geodetskih točaka za potrebe osnovnih geodetskih radova</w:t>
      </w:r>
    </w:p>
    <w:p w14:paraId="45598D01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31. izrada elaborata izmjere, označivanja i održavanja državne granice</w:t>
      </w:r>
    </w:p>
    <w:p w14:paraId="17832905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32. izrada elaborata izrade Hrvatske osnovne karte</w:t>
      </w:r>
    </w:p>
    <w:p w14:paraId="1DC96D80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33. izrada elaborata izrade digitalnih ortofotokarata</w:t>
      </w:r>
    </w:p>
    <w:p w14:paraId="537A8251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34. izrada elaborata izrade detaljnih topografskih karata</w:t>
      </w:r>
    </w:p>
    <w:p w14:paraId="1DE64DD2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35. izrada elaborata izrade preglednih topografskih karata</w:t>
      </w:r>
    </w:p>
    <w:p w14:paraId="27443673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36. izrada elaborata katastarske izmjere</w:t>
      </w:r>
    </w:p>
    <w:p w14:paraId="7EE9A65A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lastRenderedPageBreak/>
        <w:t>37. izrada elaborata tehničke reambulacije</w:t>
      </w:r>
    </w:p>
    <w:p w14:paraId="649FBCF6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38. izrada elaborata prevođenja katastarskog plana u digitalni oblik</w:t>
      </w:r>
    </w:p>
    <w:p w14:paraId="5F21035B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39. izrada elaborata prevođenja digitalnog katastarskog plana u zadanu strukturu</w:t>
      </w:r>
    </w:p>
    <w:p w14:paraId="108A99AC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40. izrada elaborata za homogenizaciju katastarskog plana</w:t>
      </w:r>
    </w:p>
    <w:p w14:paraId="30360645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41. izrada parcelacijskih i drugih geodetskih elaborata katastra zemljišta</w:t>
      </w:r>
    </w:p>
    <w:p w14:paraId="239B540B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42. izrada parcelacijskih i drugih geodetskih elaborata katastra nekretnina</w:t>
      </w:r>
    </w:p>
    <w:p w14:paraId="18F3EEB5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43. izrada parcelacijskih i drugih geodetskih elaborata za potrebe pojedinačnog prevođenja</w:t>
      </w:r>
    </w:p>
    <w:p w14:paraId="61195EE2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katastarskih čestica katastra zemljišta u katastarske čestice katastra nekretnina</w:t>
      </w:r>
    </w:p>
    <w:p w14:paraId="2559E8BB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44. izrada elaborata katastra vodova i stručnih geodetskih poslova za potrebe pružanja geodetskih usluga</w:t>
      </w:r>
    </w:p>
    <w:p w14:paraId="0542259B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45. tehničko vođenje katastra vodova</w:t>
      </w:r>
    </w:p>
    <w:p w14:paraId="55A94C5A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46. izrada posebnih geodetskih podloga za potrebe izrade dokumenata i akata prostornog uređenja</w:t>
      </w:r>
    </w:p>
    <w:p w14:paraId="5AE2F681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47. izrada posebnih geodetskih podloga za potrebe projektiranja</w:t>
      </w:r>
    </w:p>
    <w:p w14:paraId="50179C96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48. izrada posebnih elaborata stanja građevine prije rekonstrukcije</w:t>
      </w:r>
    </w:p>
    <w:p w14:paraId="34DF0BA5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49. izrada geodetskoga projekta</w:t>
      </w:r>
    </w:p>
    <w:p w14:paraId="6BCE9B05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50. iskolčenje građevine i izradu elaborata iskolčenja građevine</w:t>
      </w:r>
    </w:p>
    <w:p w14:paraId="701E061A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51. izrada geodetskog situacijskog nacrta i izgrađene građevine</w:t>
      </w:r>
    </w:p>
    <w:p w14:paraId="4ADCF3E1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52. geodetsko praćenje građevine u gradnji i izrada elaborata geodetskog praćenja</w:t>
      </w:r>
    </w:p>
    <w:p w14:paraId="1984CFE3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53. praćenje pomaka građevine u njezinom održavanju i izrada elaborata geodetskog praćenja</w:t>
      </w:r>
    </w:p>
    <w:p w14:paraId="17280671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54. geodetski poslovi koji se obavljaju u okviru urbane komasacije</w:t>
      </w:r>
    </w:p>
    <w:p w14:paraId="758BE1C2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55. izrada projekta komasacije poljoprivrednog zemljišta i geodetskih poslova koji se obavljaju u okviru komasacije poljoprivrednog zemljišta</w:t>
      </w:r>
    </w:p>
    <w:p w14:paraId="1260BEF9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56. izrada posebnih geodetskih podloga za zaštićena i štićena područja</w:t>
      </w:r>
    </w:p>
    <w:p w14:paraId="248B14B9" w14:textId="77777777" w:rsidR="00F26B96" w:rsidRPr="00D847F9" w:rsidRDefault="00F26B96" w:rsidP="00F26B96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57. stručni nadzor nad radovima</w:t>
      </w:r>
    </w:p>
    <w:p w14:paraId="06A6D4E1" w14:textId="576733AE" w:rsidR="00F26B96" w:rsidRDefault="00F26B96" w:rsidP="00F26B96">
      <w:pPr>
        <w:spacing w:beforeLines="40" w:before="96" w:afterLines="40" w:after="96" w:line="360" w:lineRule="auto"/>
        <w:jc w:val="both"/>
        <w:rPr>
          <w:rFonts w:ascii="TimesNewRoman" w:eastAsiaTheme="minorHAnsi" w:hAnsi="TimesNewRoman" w:cs="TimesNewRoman"/>
          <w:lang w:eastAsia="en-US"/>
        </w:rPr>
      </w:pPr>
      <w:r w:rsidRPr="00D847F9">
        <w:rPr>
          <w:rFonts w:ascii="TimesNewRoman" w:eastAsiaTheme="minorHAnsi" w:hAnsi="TimesNewRoman" w:cs="TimesNewRoman"/>
          <w:lang w:eastAsia="en-US"/>
        </w:rPr>
        <w:t>58. ostale stručne, znanstvene i tehničke djelatnosti.</w:t>
      </w:r>
    </w:p>
    <w:p w14:paraId="2D3676F9" w14:textId="77777777" w:rsidR="0072413C" w:rsidRDefault="0072413C" w:rsidP="00F26B96">
      <w:pPr>
        <w:spacing w:beforeLines="40" w:before="96" w:afterLines="40" w:after="96" w:line="360" w:lineRule="auto"/>
        <w:jc w:val="both"/>
        <w:rPr>
          <w:rFonts w:ascii="TimesNewRoman" w:eastAsiaTheme="minorHAnsi" w:hAnsi="TimesNewRoman" w:cs="TimesNewRoman"/>
          <w:lang w:eastAsia="en-US"/>
        </w:rPr>
      </w:pPr>
    </w:p>
    <w:p w14:paraId="3A3DC5FC" w14:textId="03A233C2" w:rsidR="00F26B96" w:rsidRPr="00D847F9" w:rsidRDefault="00F26B96" w:rsidP="00F26B9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BFBFBF" w:themeFill="background1" w:themeFillShade="BF"/>
        <w:spacing w:after="160" w:line="259" w:lineRule="auto"/>
        <w:jc w:val="both"/>
        <w:rPr>
          <w:rFonts w:eastAsiaTheme="minorHAnsi"/>
          <w:b/>
          <w:lang w:eastAsia="en-US"/>
        </w:rPr>
      </w:pPr>
      <w:r w:rsidRPr="00D847F9">
        <w:rPr>
          <w:rFonts w:eastAsiaTheme="minorHAnsi"/>
          <w:b/>
          <w:lang w:eastAsia="en-US"/>
        </w:rPr>
        <w:t>Zakonske i druge pravne osnove</w:t>
      </w:r>
    </w:p>
    <w:p w14:paraId="6EE12F0F" w14:textId="77777777" w:rsidR="00F26B96" w:rsidRPr="00D847F9" w:rsidRDefault="00F26B96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r w:rsidRPr="00D847F9">
        <w:rPr>
          <w:rFonts w:ascii="Times New Roman" w:hAnsi="Times New Roman"/>
          <w:color w:val="333333"/>
          <w:sz w:val="24"/>
          <w:szCs w:val="24"/>
          <w:lang w:val="hr-HR"/>
        </w:rPr>
        <w:t>Zakon o visokom obrazovanju i znanstvenoj djelatnosti </w:t>
      </w:r>
      <w:hyperlink r:id="rId8" w:history="1">
        <w:r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(„Narodne novine“ br. 119/22.)</w:t>
        </w:r>
      </w:hyperlink>
    </w:p>
    <w:p w14:paraId="4FD73C79" w14:textId="77777777" w:rsidR="00F26B96" w:rsidRPr="00D847F9" w:rsidRDefault="00F26B96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r w:rsidRPr="00D847F9">
        <w:rPr>
          <w:rFonts w:ascii="Times New Roman" w:hAnsi="Times New Roman"/>
          <w:color w:val="333333"/>
          <w:sz w:val="24"/>
          <w:szCs w:val="24"/>
          <w:lang w:val="hr-HR"/>
        </w:rPr>
        <w:t>Zakon o radu („Narodne novine“ br. 93/14., 127/17., 98/19., 151/22. i 64/23.)</w:t>
      </w:r>
    </w:p>
    <w:p w14:paraId="0F37C8B3" w14:textId="77777777" w:rsidR="00F26B96" w:rsidRPr="00D847F9" w:rsidRDefault="00F26B96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r w:rsidRPr="00D847F9">
        <w:rPr>
          <w:rFonts w:ascii="Times New Roman" w:hAnsi="Times New Roman"/>
          <w:color w:val="333333"/>
          <w:sz w:val="24"/>
          <w:szCs w:val="24"/>
          <w:lang w:val="hr-HR"/>
        </w:rPr>
        <w:t>Zakon o ustanovama („Narodne novine“ br. 76/93., 29/97., 47/99., 35/08., 127/19. i 151/22.)</w:t>
      </w:r>
    </w:p>
    <w:p w14:paraId="6A1B2D3A" w14:textId="77777777" w:rsidR="00F26B96" w:rsidRPr="00D847F9" w:rsidRDefault="00F26B96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r w:rsidRPr="00D847F9">
        <w:rPr>
          <w:rFonts w:ascii="Times New Roman" w:hAnsi="Times New Roman"/>
          <w:color w:val="333333"/>
          <w:sz w:val="24"/>
          <w:szCs w:val="24"/>
          <w:lang w:val="hr-HR"/>
        </w:rPr>
        <w:t>Zakon o zaštiti na radu („Narodne novine“ br. 71/14., 118/14., 154/14. , 94/18. i 96/18.)</w:t>
      </w:r>
    </w:p>
    <w:p w14:paraId="2FA2FEBC" w14:textId="77777777" w:rsidR="00F26B96" w:rsidRPr="00D847F9" w:rsidRDefault="00F26B96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r w:rsidRPr="00D847F9">
        <w:rPr>
          <w:rFonts w:ascii="Times New Roman" w:hAnsi="Times New Roman"/>
          <w:color w:val="333333"/>
          <w:sz w:val="24"/>
          <w:szCs w:val="24"/>
          <w:lang w:val="hr-HR"/>
        </w:rPr>
        <w:t>Zakon o akademskom i stručnom nazivu i akademskom stupnju („Narodne novine“ br. 123/23.)</w:t>
      </w:r>
    </w:p>
    <w:p w14:paraId="1B134505" w14:textId="77777777" w:rsidR="00F26B96" w:rsidRPr="00D847F9" w:rsidRDefault="00F26B96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r w:rsidRPr="00D847F9">
        <w:rPr>
          <w:rFonts w:ascii="Times New Roman" w:hAnsi="Times New Roman"/>
          <w:color w:val="333333"/>
          <w:sz w:val="24"/>
          <w:szCs w:val="24"/>
          <w:lang w:val="hr-HR"/>
        </w:rPr>
        <w:lastRenderedPageBreak/>
        <w:t>Zakon o plaćama u državnoj službi i javnim službama</w:t>
      </w:r>
      <w:r w:rsidRPr="00D847F9">
        <w:rPr>
          <w:rFonts w:ascii="Times New Roman" w:hAnsi="Times New Roman"/>
          <w:sz w:val="24"/>
          <w:szCs w:val="24"/>
          <w:lang w:val="hr-HR"/>
        </w:rPr>
        <w:t xml:space="preserve"> („</w:t>
      </w:r>
      <w:r w:rsidRPr="00D847F9">
        <w:rPr>
          <w:rFonts w:ascii="Times New Roman" w:hAnsi="Times New Roman"/>
          <w:color w:val="333333"/>
          <w:sz w:val="24"/>
          <w:szCs w:val="24"/>
          <w:lang w:val="hr-HR"/>
        </w:rPr>
        <w:t>Narodne novine“ br. 155/23.)</w:t>
      </w:r>
    </w:p>
    <w:p w14:paraId="4D4B98AC" w14:textId="77777777" w:rsidR="00F26B96" w:rsidRPr="00D847F9" w:rsidRDefault="00F26B96" w:rsidP="00F26B96">
      <w:pPr>
        <w:spacing w:line="360" w:lineRule="auto"/>
        <w:jc w:val="both"/>
      </w:pPr>
      <w:r w:rsidRPr="00D847F9">
        <w:t>Zakon o javnoj nabavi („Narodne novine“ br. 120/16. i 114/22.)</w:t>
      </w:r>
    </w:p>
    <w:p w14:paraId="682CDFBD" w14:textId="77777777" w:rsidR="00F26B96" w:rsidRPr="00D847F9" w:rsidRDefault="00F26B96" w:rsidP="00F26B96">
      <w:pPr>
        <w:spacing w:line="360" w:lineRule="auto"/>
        <w:jc w:val="both"/>
      </w:pPr>
      <w:r w:rsidRPr="00D847F9">
        <w:t>Zakon o sustavu unutarnjih kontrola u javnom sektoru („Narodne novine“ br. 78/15. i 102/19.)</w:t>
      </w:r>
    </w:p>
    <w:p w14:paraId="1C904D06" w14:textId="77777777" w:rsidR="00F26B96" w:rsidRPr="00D847F9" w:rsidRDefault="00F26B96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val="hr-HR"/>
        </w:rPr>
      </w:pPr>
      <w:r w:rsidRPr="00D847F9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val="hr-HR"/>
        </w:rPr>
        <w:t>Temeljni kolektivni ugovor za zaposlenike u javnim službama (“Narodne novine” br. 29/24.)</w:t>
      </w:r>
    </w:p>
    <w:p w14:paraId="66E7A037" w14:textId="77777777" w:rsidR="00F26B96" w:rsidRPr="00D847F9" w:rsidRDefault="00F26B96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r w:rsidRPr="00D847F9">
        <w:rPr>
          <w:rFonts w:ascii="Times New Roman" w:hAnsi="Times New Roman"/>
          <w:color w:val="333333"/>
          <w:sz w:val="24"/>
          <w:szCs w:val="24"/>
          <w:lang w:val="hr-HR"/>
        </w:rPr>
        <w:t>Kolektivni ugovor za znanost i visoko obrazovanje („Narodne novine“ br. 9/19., 9/19, 122/19., 52/20.)</w:t>
      </w:r>
    </w:p>
    <w:p w14:paraId="5EFA514B" w14:textId="77777777" w:rsidR="00F26B96" w:rsidRPr="00D847F9" w:rsidRDefault="00F26B96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r w:rsidRPr="00D847F9">
        <w:rPr>
          <w:rFonts w:ascii="Times New Roman" w:hAnsi="Times New Roman"/>
          <w:color w:val="333333"/>
          <w:sz w:val="24"/>
          <w:szCs w:val="24"/>
          <w:lang w:val="hr-HR"/>
        </w:rPr>
        <w:t>Uredba o nazivima radnih mjesta, uvjetima za raspored i koeficijentima za obračun plaće u javnim službama (“Narodne novine” br. 22/24.)</w:t>
      </w:r>
    </w:p>
    <w:p w14:paraId="440D98FD" w14:textId="77777777" w:rsidR="00F26B96" w:rsidRPr="00D847F9" w:rsidRDefault="00F26B96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r w:rsidRPr="00D847F9">
        <w:rPr>
          <w:rFonts w:ascii="Times New Roman" w:hAnsi="Times New Roman"/>
          <w:color w:val="333333"/>
          <w:sz w:val="24"/>
          <w:szCs w:val="24"/>
          <w:lang w:val="hr-HR"/>
        </w:rPr>
        <w:t>Pravilnik o znanstvenim i interdisciplinarnim područjima, poljima i granama te umjetničkom području, poljima i granama („Narodne novine“ br. 3/24.)</w:t>
      </w:r>
    </w:p>
    <w:p w14:paraId="58B30D95" w14:textId="77777777" w:rsidR="00F26B96" w:rsidRPr="00D847F9" w:rsidRDefault="00F26B96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r w:rsidRPr="00D847F9">
        <w:rPr>
          <w:rFonts w:ascii="Times New Roman" w:hAnsi="Times New Roman"/>
          <w:color w:val="333333"/>
          <w:sz w:val="24"/>
          <w:szCs w:val="24"/>
          <w:lang w:val="hr-HR"/>
        </w:rPr>
        <w:t>Odluka o obliku i načinu provedbe nastupnog predavanja za izbor u znanstveno-nastavna zvanja, umjetničko-nastavna i nastavna zvanja („</w:t>
      </w:r>
      <w:hyperlink r:id="rId9" w:history="1">
        <w:r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Narodne novine“ br. 129/2005</w:t>
        </w:r>
      </w:hyperlink>
      <w:r w:rsidRPr="00D847F9">
        <w:rPr>
          <w:rFonts w:ascii="Times New Roman" w:hAnsi="Times New Roman"/>
          <w:color w:val="333333"/>
          <w:sz w:val="24"/>
          <w:szCs w:val="24"/>
          <w:lang w:val="hr-HR"/>
        </w:rPr>
        <w:t>)</w:t>
      </w:r>
    </w:p>
    <w:p w14:paraId="681CE7A4" w14:textId="77777777" w:rsidR="00F26B96" w:rsidRPr="00D847F9" w:rsidRDefault="00F26B96" w:rsidP="00F26B96">
      <w:pPr>
        <w:pStyle w:val="NormalWeb"/>
        <w:spacing w:before="0" w:beforeAutospacing="0" w:after="0" w:afterAutospacing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hr-HR"/>
        </w:rPr>
      </w:pPr>
      <w:r w:rsidRPr="00D847F9">
        <w:rPr>
          <w:rFonts w:ascii="Times New Roman" w:hAnsi="Times New Roman"/>
          <w:color w:val="333333"/>
          <w:sz w:val="24"/>
          <w:szCs w:val="24"/>
          <w:lang w:val="hr-HR"/>
        </w:rPr>
        <w:t>Odluka o nužnim uvjetima za ocjenu nastavne i stručne djelatnosti u postupku izbora u nastavna zvanja („</w:t>
      </w:r>
      <w:hyperlink r:id="rId10" w:history="1">
        <w:r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Narodne novine“ br. 13/2012)</w:t>
        </w:r>
        <w:r w:rsidRPr="00D847F9">
          <w:rPr>
            <w:rFonts w:ascii="Times New Roman" w:hAnsi="Times New Roman"/>
            <w:color w:val="000000"/>
            <w:sz w:val="24"/>
            <w:szCs w:val="24"/>
            <w:bdr w:val="none" w:sz="0" w:space="0" w:color="auto" w:frame="1"/>
            <w:lang w:val="hr-HR"/>
          </w:rPr>
          <w:br/>
        </w:r>
      </w:hyperlink>
      <w:r w:rsidRPr="00D847F9">
        <w:rPr>
          <w:rFonts w:ascii="Times New Roman" w:hAnsi="Times New Roman"/>
          <w:color w:val="333333"/>
          <w:sz w:val="24"/>
          <w:szCs w:val="24"/>
          <w:lang w:val="hr-HR"/>
        </w:rPr>
        <w:t>Odluka o izmjeni i dopuni Odluke o nužnim uvjetima za ocjenu nastavne i stručne djelatnosti u postupku izbora u nastavna zvanja („</w:t>
      </w:r>
      <w:hyperlink r:id="rId11" w:history="1">
        <w:r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Narodne novine“ br. 120/2021</w:t>
        </w:r>
      </w:hyperlink>
      <w:r w:rsidRPr="00D847F9">
        <w:rPr>
          <w:rFonts w:ascii="Times New Roman" w:hAnsi="Times New Roman"/>
          <w:color w:val="333333"/>
          <w:sz w:val="24"/>
          <w:szCs w:val="24"/>
          <w:lang w:val="hr-HR"/>
        </w:rPr>
        <w:t>)</w:t>
      </w:r>
    </w:p>
    <w:p w14:paraId="37EF689A" w14:textId="77777777" w:rsidR="00F26B96" w:rsidRPr="00D847F9" w:rsidRDefault="00F26B96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r w:rsidRPr="00D847F9">
        <w:rPr>
          <w:rFonts w:ascii="Times New Roman" w:hAnsi="Times New Roman"/>
          <w:color w:val="333333"/>
          <w:sz w:val="24"/>
          <w:szCs w:val="24"/>
          <w:lang w:val="hr-HR"/>
        </w:rPr>
        <w:t>Odluka o nužnim uvjetima za ocjenu nastavne i stručne djelatnosti u postupku izbora u znanstveno-nastavna zvanja („</w:t>
      </w:r>
      <w:hyperlink r:id="rId12" w:history="1">
        <w:r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Narodne novine“ br. 106/2006</w:t>
        </w:r>
      </w:hyperlink>
      <w:r w:rsidRPr="00D847F9">
        <w:rPr>
          <w:rFonts w:ascii="Times New Roman" w:hAnsi="Times New Roman"/>
          <w:color w:val="333333"/>
          <w:sz w:val="24"/>
          <w:szCs w:val="24"/>
          <w:lang w:val="hr-HR"/>
        </w:rPr>
        <w:t xml:space="preserve"> i 122/2017) </w:t>
      </w:r>
    </w:p>
    <w:p w14:paraId="768CB69B" w14:textId="77777777" w:rsidR="00F26B96" w:rsidRPr="00D847F9" w:rsidRDefault="00F26B96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r w:rsidRPr="00D847F9">
        <w:rPr>
          <w:rFonts w:ascii="Times New Roman" w:hAnsi="Times New Roman"/>
          <w:color w:val="333333"/>
          <w:sz w:val="24"/>
          <w:szCs w:val="24"/>
          <w:lang w:val="hr-HR"/>
        </w:rPr>
        <w:t>Odluka o izmjeni i dopuni Odluke o nužnim uvjetima za ocjenu nastavne i znanstveno-stručne djelatnosti u postupku izbora u znanstveno-nastavna zvanja („</w:t>
      </w:r>
      <w:hyperlink r:id="rId13" w:history="1">
        <w:r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Narodne novine“ br. 120/2021</w:t>
        </w:r>
      </w:hyperlink>
      <w:r w:rsidRPr="00D847F9">
        <w:rPr>
          <w:rFonts w:ascii="Times New Roman" w:hAnsi="Times New Roman"/>
          <w:color w:val="333333"/>
          <w:sz w:val="24"/>
          <w:szCs w:val="24"/>
          <w:lang w:val="hr-HR"/>
        </w:rPr>
        <w:t>)</w:t>
      </w:r>
    </w:p>
    <w:p w14:paraId="0F465046" w14:textId="77777777" w:rsidR="00F26B96" w:rsidRPr="00D847F9" w:rsidRDefault="00F26B96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r w:rsidRPr="00D847F9">
        <w:rPr>
          <w:rFonts w:ascii="Times New Roman" w:hAnsi="Times New Roman"/>
          <w:color w:val="333333"/>
          <w:sz w:val="24"/>
          <w:szCs w:val="24"/>
          <w:lang w:val="hr-HR"/>
        </w:rPr>
        <w:t>Odluka o minimalnim uvjetima radnih obveza za reizbor na znanstvena, znanstveno-nastavna, umjetničko-nastavna, nastavna i stručna radna mjesta te o obliku izvješća stručnog povjerenstva o radu zaposlenika u postupku reizbora („</w:t>
      </w:r>
      <w:hyperlink r:id="rId14" w:history="1">
        <w:r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Narodne novine“ br. 24/2021</w:t>
        </w:r>
      </w:hyperlink>
      <w:r w:rsidRPr="00D847F9">
        <w:rPr>
          <w:rFonts w:ascii="Times New Roman" w:hAnsi="Times New Roman"/>
          <w:color w:val="333333"/>
          <w:sz w:val="24"/>
          <w:szCs w:val="24"/>
          <w:lang w:val="hr-HR"/>
        </w:rPr>
        <w:t>)</w:t>
      </w:r>
    </w:p>
    <w:p w14:paraId="17823991" w14:textId="77777777" w:rsidR="00F26B96" w:rsidRPr="00D847F9" w:rsidRDefault="00F26B96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r w:rsidRPr="00D847F9">
        <w:rPr>
          <w:rFonts w:ascii="Times New Roman" w:hAnsi="Times New Roman"/>
          <w:color w:val="333333"/>
          <w:sz w:val="24"/>
          <w:szCs w:val="24"/>
          <w:lang w:val="hr-HR"/>
        </w:rPr>
        <w:t>Pravilnik o uvjetima za izbor u znanstvena zvanja („</w:t>
      </w:r>
      <w:hyperlink r:id="rId15" w:history="1">
        <w:r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Narodne novine“ br. 28/17.)</w:t>
        </w:r>
      </w:hyperlink>
    </w:p>
    <w:p w14:paraId="79E722A0" w14:textId="77777777" w:rsidR="00F26B96" w:rsidRPr="00D847F9" w:rsidRDefault="00F26B96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r w:rsidRPr="00D847F9">
        <w:rPr>
          <w:rFonts w:ascii="Times New Roman" w:hAnsi="Times New Roman"/>
          <w:color w:val="333333"/>
          <w:sz w:val="24"/>
          <w:szCs w:val="24"/>
          <w:lang w:val="hr-HR"/>
        </w:rPr>
        <w:t>Pravilnik o izmjenama i dopunama Pravilnika o uvjetima za izbor u znanstvena zvanja </w:t>
      </w:r>
      <w:hyperlink r:id="rId16" w:history="1">
        <w:r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(„Narodne novine“ br. 111/22.</w:t>
        </w:r>
      </w:hyperlink>
      <w:r w:rsidRPr="00D847F9">
        <w:rPr>
          <w:rFonts w:ascii="Times New Roman" w:hAnsi="Times New Roman"/>
          <w:color w:val="333333"/>
          <w:sz w:val="24"/>
          <w:szCs w:val="24"/>
          <w:lang w:val="hr-HR"/>
        </w:rPr>
        <w:t>)</w:t>
      </w:r>
    </w:p>
    <w:p w14:paraId="332841BF" w14:textId="77777777" w:rsidR="00F26B96" w:rsidRPr="00D847F9" w:rsidRDefault="00F26B96" w:rsidP="00F26B96">
      <w:pPr>
        <w:spacing w:line="360" w:lineRule="auto"/>
        <w:jc w:val="both"/>
      </w:pPr>
      <w:r w:rsidRPr="00D847F9">
        <w:t>Pravilnik o sustavu unutarnjih kontrola u javnom sektoru</w:t>
      </w:r>
    </w:p>
    <w:p w14:paraId="2A6F0C56" w14:textId="77777777" w:rsidR="00F26B96" w:rsidRPr="00D847F9" w:rsidRDefault="00F26B96" w:rsidP="00F26B96">
      <w:pPr>
        <w:spacing w:line="360" w:lineRule="auto"/>
        <w:jc w:val="both"/>
      </w:pPr>
      <w:r w:rsidRPr="00D847F9">
        <w:t>Pravilnik o unutarnjoj reviziji u javnom sektoru</w:t>
      </w:r>
    </w:p>
    <w:p w14:paraId="013911D1" w14:textId="77777777" w:rsidR="00F26B96" w:rsidRPr="00D847F9" w:rsidRDefault="005707DD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hyperlink r:id="rId17" w:tgtFrame="_blank" w:history="1">
        <w:r w:rsidR="00F26B96"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Pravilnik o provedbi postupka izbora/reizbora</w:t>
        </w:r>
        <w:r w:rsidR="00F26B96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 xml:space="preserve"> na znanstveno-nastavna, umjetničko-nastavna, nastavna, suradnička i stručna </w:t>
        </w:r>
        <w:r w:rsidR="00F26B96"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radna mjesta</w:t>
        </w:r>
        <w:r w:rsidR="00F26B96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 xml:space="preserve"> na</w:t>
        </w:r>
        <w:r w:rsidR="00F26B96"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 xml:space="preserve"> Sveučilišt</w:t>
        </w:r>
        <w:r w:rsidR="00F26B96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u</w:t>
        </w:r>
        <w:r w:rsidR="00F26B96"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 xml:space="preserve"> Josipa Jurja Strossmayera u Osijeku</w:t>
        </w:r>
      </w:hyperlink>
    </w:p>
    <w:p w14:paraId="056D38D9" w14:textId="77777777" w:rsidR="00F26B96" w:rsidRPr="00D847F9" w:rsidRDefault="005707DD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hyperlink r:id="rId18" w:tgtFrame="_blank" w:history="1">
        <w:r w:rsidR="00F26B96"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Statut</w:t>
        </w:r>
      </w:hyperlink>
      <w:r w:rsidR="00F26B96" w:rsidRPr="00D847F9">
        <w:rPr>
          <w:rFonts w:ascii="Times New Roman" w:hAnsi="Times New Roman"/>
          <w:color w:val="333333"/>
          <w:sz w:val="24"/>
          <w:szCs w:val="24"/>
          <w:lang w:val="hr-HR"/>
        </w:rPr>
        <w:t xml:space="preserve"> Sveučilišta Josipa Jurja Strossmayera u Osijeku</w:t>
      </w:r>
    </w:p>
    <w:p w14:paraId="4A2A9FF8" w14:textId="77777777" w:rsidR="00F26B96" w:rsidRPr="00D847F9" w:rsidRDefault="005707DD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hyperlink r:id="rId19" w:tgtFrame="_blank" w:history="1">
        <w:r w:rsidR="00F26B96"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 xml:space="preserve">Statut Građevinskog i arhitektonskog fakulteta Osijek </w:t>
        </w:r>
      </w:hyperlink>
    </w:p>
    <w:p w14:paraId="6047C8D6" w14:textId="77777777" w:rsidR="00F26B96" w:rsidRPr="00D847F9" w:rsidRDefault="005707DD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hyperlink r:id="rId20" w:history="1">
        <w:r w:rsidR="00F26B96"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Pravilnik o izdavačkoj djelatnosti Sveučilišta Josipa Jurja Strossmayera u Osijeku</w:t>
        </w:r>
      </w:hyperlink>
    </w:p>
    <w:p w14:paraId="3CF0AF3B" w14:textId="77777777" w:rsidR="00F26B96" w:rsidRPr="00D847F9" w:rsidRDefault="005707DD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hyperlink r:id="rId21" w:tgtFrame="_blank" w:history="1">
        <w:r w:rsidR="00F26B96"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Pravilnik o raspisivanju i provedbi javnih natječaja na sveučilištu Josipa Jurja Strossmayera u Osijeku</w:t>
        </w:r>
      </w:hyperlink>
    </w:p>
    <w:p w14:paraId="787F3D14" w14:textId="77777777" w:rsidR="00F26B96" w:rsidRPr="00D847F9" w:rsidRDefault="005707DD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hyperlink r:id="rId22" w:tgtFrame="_blank" w:history="1">
        <w:r w:rsidR="00F26B96"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Etički kodeks Sveučilišta Josipa Jurja Strossmayera u Osijeku</w:t>
        </w:r>
      </w:hyperlink>
    </w:p>
    <w:p w14:paraId="44570F84" w14:textId="77777777" w:rsidR="00F26B96" w:rsidRPr="00D847F9" w:rsidRDefault="005707DD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hyperlink r:id="rId23" w:tgtFrame="_blank" w:history="1">
        <w:r w:rsidR="00F26B96"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Odluka o izmjenama i dopunama Pravilnika o ustroju i djelovanju sustava za osiguranje kvalitete</w:t>
        </w:r>
      </w:hyperlink>
    </w:p>
    <w:p w14:paraId="5AFB207B" w14:textId="77777777" w:rsidR="00F26B96" w:rsidRPr="00D847F9" w:rsidRDefault="00F26B96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sz w:val="24"/>
          <w:szCs w:val="24"/>
          <w:lang w:val="hr-HR"/>
        </w:rPr>
      </w:pPr>
      <w:r w:rsidRPr="00D847F9">
        <w:rPr>
          <w:rFonts w:ascii="Times New Roman" w:hAnsi="Times New Roman"/>
          <w:sz w:val="24"/>
          <w:szCs w:val="24"/>
          <w:lang w:val="hr-HR"/>
        </w:rPr>
        <w:t xml:space="preserve">Pravilnik o Erasmus+ programu međunarodne mobilnosti – pročišćeni tekst </w:t>
      </w:r>
    </w:p>
    <w:p w14:paraId="6F19ED3E" w14:textId="77777777" w:rsidR="00F26B96" w:rsidRPr="00D847F9" w:rsidRDefault="005707DD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hyperlink r:id="rId24" w:tgtFrame="_blank" w:history="1">
        <w:r w:rsidR="00F26B96"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Pravilnik o financijskom poslovanju - pročišćeni-tekst</w:t>
        </w:r>
      </w:hyperlink>
    </w:p>
    <w:p w14:paraId="50AF4634" w14:textId="77777777" w:rsidR="00F26B96" w:rsidRPr="00D847F9" w:rsidRDefault="005707DD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hyperlink r:id="rId25" w:tgtFrame="_blank" w:history="1">
        <w:r w:rsidR="00F26B96"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Pravilnik o poslijediplomskim studijima na Sveučilištu Josipa Jurja Strossmayera u Osijeku</w:t>
        </w:r>
      </w:hyperlink>
      <w:r w:rsidR="00F26B96" w:rsidRPr="00D847F9">
        <w:rPr>
          <w:rStyle w:val="Hyperlink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  <w:lang w:val="hr-HR"/>
        </w:rPr>
        <w:t xml:space="preserve"> – pročišćeni tekst</w:t>
      </w:r>
    </w:p>
    <w:p w14:paraId="6F251B45" w14:textId="77777777" w:rsidR="00F26B96" w:rsidRPr="00D847F9" w:rsidRDefault="005707DD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hyperlink r:id="rId26" w:tgtFrame="_blank" w:history="1">
        <w:r w:rsidR="00F26B96"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Pravilnik o sprječavanju nepotizma</w:t>
        </w:r>
      </w:hyperlink>
    </w:p>
    <w:p w14:paraId="7D9412DC" w14:textId="77777777" w:rsidR="00F26B96" w:rsidRPr="00D847F9" w:rsidRDefault="005707DD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hyperlink r:id="rId27" w:tgtFrame="_blank" w:history="1">
        <w:r w:rsidR="00F26B96"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Pravilnik o stegovnoj odgovornosti nastavnika i suradnika Sveučilišta Josipa Jurja Strossmayera u Osijeku</w:t>
        </w:r>
      </w:hyperlink>
    </w:p>
    <w:p w14:paraId="34A4783C" w14:textId="77777777" w:rsidR="00F26B96" w:rsidRPr="00D847F9" w:rsidRDefault="005707DD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hyperlink r:id="rId28" w:tgtFrame="_blank" w:history="1">
        <w:r w:rsidR="00F26B96"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Pravilnik o stegovnoj odgovornosti studenata</w:t>
        </w:r>
      </w:hyperlink>
    </w:p>
    <w:p w14:paraId="24A56872" w14:textId="77777777" w:rsidR="00F26B96" w:rsidRPr="00D847F9" w:rsidRDefault="005707DD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hyperlink r:id="rId29" w:tgtFrame="_blank" w:history="1">
        <w:r w:rsidR="00F26B96"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Pravilnik o studijima i studiranju na Sveučilištu Josipa Jurja Strossmayera u Osijeku</w:t>
        </w:r>
      </w:hyperlink>
    </w:p>
    <w:p w14:paraId="78A49E4D" w14:textId="77777777" w:rsidR="00F26B96" w:rsidRDefault="005707DD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Style w:val="Hyperlink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  <w:lang w:val="hr-HR"/>
        </w:rPr>
      </w:pPr>
      <w:hyperlink r:id="rId30" w:tgtFrame="_blank" w:history="1">
        <w:r w:rsidR="00F26B96"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Pravilnik o sukobima interesa i obveza</w:t>
        </w:r>
      </w:hyperlink>
    </w:p>
    <w:p w14:paraId="5E59D559" w14:textId="77777777" w:rsidR="00F26B96" w:rsidRPr="00D847F9" w:rsidRDefault="00F26B96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r>
        <w:rPr>
          <w:rFonts w:ascii="Times New Roman" w:hAnsi="Times New Roman"/>
          <w:color w:val="333333"/>
          <w:sz w:val="24"/>
          <w:szCs w:val="24"/>
          <w:lang w:val="hr-HR"/>
        </w:rPr>
        <w:t>Pravilnik o izdavanju suglasnosti za dodatan rad zaposlenika izvan Sveučilišta Josipa Jurja Strossmayera u Osijeku</w:t>
      </w:r>
    </w:p>
    <w:p w14:paraId="375AAE65" w14:textId="77777777" w:rsidR="00F26B96" w:rsidRPr="00D847F9" w:rsidRDefault="005707DD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hyperlink r:id="rId31" w:tgtFrame="_blank" w:history="1">
        <w:r w:rsidR="00F26B96"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Pravilnik o ustroju i djelovanju sustava za osiguranje kvalitete na Sveučilištu Josipa Jurja Strossmayera u Osijeku</w:t>
        </w:r>
      </w:hyperlink>
    </w:p>
    <w:p w14:paraId="2CE12438" w14:textId="77777777" w:rsidR="00F26B96" w:rsidRPr="00D847F9" w:rsidRDefault="005707DD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hyperlink r:id="rId32" w:tgtFrame="_blank" w:history="1">
        <w:r w:rsidR="00F26B96"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Pravilnik o uvjetima i načinu ostvarivanja prava na dodjelu studentskih stipendija i potpora Sveučilišta Josipa Jurja Strossmayera u Osijeku</w:t>
        </w:r>
      </w:hyperlink>
    </w:p>
    <w:p w14:paraId="543755C7" w14:textId="77777777" w:rsidR="00F26B96" w:rsidRPr="00D847F9" w:rsidRDefault="005707DD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hyperlink r:id="rId33" w:tgtFrame="_blank" w:history="1">
        <w:r w:rsidR="00F26B96"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Pravilnik o vrednovanju rada asistenata, poslijedoktoranada i mentora</w:t>
        </w:r>
      </w:hyperlink>
    </w:p>
    <w:p w14:paraId="69E2A089" w14:textId="77777777" w:rsidR="00F26B96" w:rsidRPr="00D847F9" w:rsidRDefault="005707DD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hyperlink r:id="rId34" w:tgtFrame="_blank" w:history="1">
        <w:r w:rsidR="00F26B96"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Pravilnik o popisu imovine i obveza i postupanju s imovinom</w:t>
        </w:r>
      </w:hyperlink>
    </w:p>
    <w:p w14:paraId="3635A187" w14:textId="77777777" w:rsidR="00F26B96" w:rsidRPr="00D847F9" w:rsidRDefault="005707DD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hyperlink r:id="rId35" w:tgtFrame="_blank" w:history="1">
        <w:r w:rsidR="00F26B96"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 xml:space="preserve">Pravilnik o radu Građevinskog i arhitektonskog fakulteta </w:t>
        </w:r>
      </w:hyperlink>
    </w:p>
    <w:p w14:paraId="42829840" w14:textId="77777777" w:rsidR="00F26B96" w:rsidRDefault="005707DD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Style w:val="Hyperlink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  <w:lang w:val="hr-HR"/>
        </w:rPr>
      </w:pPr>
      <w:hyperlink r:id="rId36" w:tgtFrame="_blank" w:history="1">
        <w:r w:rsidR="00F26B96"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Pravilnik o korištenju službenog vozila</w:t>
        </w:r>
      </w:hyperlink>
      <w:r w:rsidR="00F26B96">
        <w:rPr>
          <w:rStyle w:val="Hyperlink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  <w:lang w:val="hr-HR"/>
        </w:rPr>
        <w:t>-pročišćeni tekst</w:t>
      </w:r>
    </w:p>
    <w:p w14:paraId="2717B1C8" w14:textId="77777777" w:rsidR="00F26B96" w:rsidRDefault="00F26B96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Style w:val="Hyperlink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  <w:lang w:val="hr-HR"/>
        </w:rPr>
      </w:pPr>
      <w:r>
        <w:rPr>
          <w:rStyle w:val="Hyperlink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  <w:lang w:val="hr-HR"/>
        </w:rPr>
        <w:t>Pravilnik o radu Knjižnice Građevinskog i arhitektonskog fakulteta Osijek</w:t>
      </w:r>
    </w:p>
    <w:p w14:paraId="530C1A06" w14:textId="77777777" w:rsidR="00F26B96" w:rsidRDefault="00F26B96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Style w:val="Hyperlink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  <w:lang w:val="hr-HR"/>
        </w:rPr>
      </w:pPr>
      <w:r>
        <w:rPr>
          <w:rStyle w:val="Hyperlink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  <w:lang w:val="hr-HR"/>
        </w:rPr>
        <w:t>Pravilnik o poticanju i honoriranju znanstvene izvrsnosti – pročišćeni tekst</w:t>
      </w:r>
    </w:p>
    <w:p w14:paraId="124F4641" w14:textId="77777777" w:rsidR="00F26B96" w:rsidRPr="00D847F9" w:rsidRDefault="005707DD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hyperlink r:id="rId37" w:tgtFrame="_blank" w:history="1">
        <w:r w:rsidR="00F26B96"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 xml:space="preserve">Pravilnik o postupku unutarnjeg prijavljivanja nepravilnosti </w:t>
        </w:r>
      </w:hyperlink>
    </w:p>
    <w:p w14:paraId="0646D893" w14:textId="77777777" w:rsidR="00F26B96" w:rsidRPr="00D847F9" w:rsidRDefault="005707DD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hyperlink r:id="rId38" w:tgtFrame="_blank" w:history="1">
        <w:r w:rsidR="00F26B96"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 xml:space="preserve">Pravilnik o zaštiti osobnih podataka </w:t>
        </w:r>
      </w:hyperlink>
    </w:p>
    <w:p w14:paraId="66EF3247" w14:textId="77777777" w:rsidR="00F26B96" w:rsidRPr="00D847F9" w:rsidRDefault="005707DD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hyperlink r:id="rId39" w:tgtFrame="_blank" w:history="1">
        <w:r w:rsidR="00F26B96"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Pravilnik o kvaliteti - 2019</w:t>
        </w:r>
      </w:hyperlink>
    </w:p>
    <w:p w14:paraId="0168B473" w14:textId="77777777" w:rsidR="00F26B96" w:rsidRPr="00D847F9" w:rsidRDefault="005707DD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hyperlink r:id="rId40" w:tgtFrame="_blank" w:history="1">
        <w:r w:rsidR="00F26B96"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Pravilnik o završnim i diplomskim ispitima - pročišćeni tekst</w:t>
        </w:r>
      </w:hyperlink>
    </w:p>
    <w:p w14:paraId="28DF4D69" w14:textId="77777777" w:rsidR="00F26B96" w:rsidRPr="00D847F9" w:rsidRDefault="005707DD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hyperlink r:id="rId41" w:tgtFrame="_blank" w:history="1">
        <w:r w:rsidR="00F26B96"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Pravila za upravljanje dokumentarnim gradivom</w:t>
        </w:r>
      </w:hyperlink>
      <w:r w:rsidR="00F26B96">
        <w:rPr>
          <w:rStyle w:val="Hyperlink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  <w:lang w:val="hr-HR"/>
        </w:rPr>
        <w:t xml:space="preserve"> s rokovima čuvanja</w:t>
      </w:r>
    </w:p>
    <w:p w14:paraId="19A98060" w14:textId="77777777" w:rsidR="00F26B96" w:rsidRPr="00D847F9" w:rsidRDefault="005707DD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hyperlink r:id="rId42" w:tgtFrame="_blank" w:history="1">
        <w:r w:rsidR="00F26B96"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Pravilnik o nastavnim i stručnim bazama</w:t>
        </w:r>
      </w:hyperlink>
    </w:p>
    <w:p w14:paraId="16AEAFF1" w14:textId="77777777" w:rsidR="00F26B96" w:rsidRPr="00D847F9" w:rsidRDefault="005707DD" w:rsidP="00F26B9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lang w:val="hr-HR"/>
        </w:rPr>
      </w:pPr>
      <w:hyperlink r:id="rId43" w:tgtFrame="_blank" w:history="1">
        <w:r w:rsidR="00F26B96" w:rsidRPr="00D847F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hr-HR"/>
          </w:rPr>
          <w:t>Pravilnik o obveznoj stručnoj praksi studenata</w:t>
        </w:r>
      </w:hyperlink>
    </w:p>
    <w:p w14:paraId="46A07034" w14:textId="77777777" w:rsidR="00F26B96" w:rsidRPr="00D847F9" w:rsidRDefault="00F26B96" w:rsidP="00F26B96">
      <w:pPr>
        <w:spacing w:line="360" w:lineRule="auto"/>
        <w:jc w:val="both"/>
      </w:pPr>
      <w:r w:rsidRPr="00D847F9">
        <w:lastRenderedPageBreak/>
        <w:t>Pravilnik o ustrojstvu radnih mjesta Građevinskog i arhitektonskog fakulteta Osijek</w:t>
      </w:r>
    </w:p>
    <w:p w14:paraId="13FD4D34" w14:textId="77777777" w:rsidR="00F26B96" w:rsidRPr="00D847F9" w:rsidRDefault="00F26B96" w:rsidP="00F26B96">
      <w:pPr>
        <w:spacing w:line="360" w:lineRule="auto"/>
        <w:jc w:val="both"/>
      </w:pPr>
      <w:r w:rsidRPr="00D847F9">
        <w:t>Pravilnik o uredskom poslovanju</w:t>
      </w:r>
    </w:p>
    <w:p w14:paraId="5A628623" w14:textId="406A050A" w:rsidR="008E308B" w:rsidRPr="00860C12" w:rsidRDefault="00F26B96" w:rsidP="00241D8A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847F9">
        <w:rPr>
          <w:rFonts w:ascii="Times New Roman" w:hAnsi="Times New Roman"/>
          <w:sz w:val="24"/>
          <w:szCs w:val="24"/>
          <w:lang w:val="hr-HR"/>
        </w:rPr>
        <w:t>Strategija razvoja Građevinskog i arhitektonskog fakulteta Osijek 2023. – 2027.</w:t>
      </w:r>
    </w:p>
    <w:p w14:paraId="5EC4D369" w14:textId="77777777" w:rsidR="00190056" w:rsidRPr="00241D8A" w:rsidRDefault="00190056" w:rsidP="00241D8A">
      <w:pPr>
        <w:jc w:val="both"/>
        <w:rPr>
          <w:b/>
          <w:bCs/>
        </w:rPr>
      </w:pPr>
    </w:p>
    <w:p w14:paraId="2530D2EC" w14:textId="780FE103" w:rsidR="00636E61" w:rsidRPr="00860C12" w:rsidRDefault="00636E61" w:rsidP="00E209D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BFBFBF" w:themeFill="background1" w:themeFillShade="BF"/>
        <w:spacing w:after="160" w:line="259" w:lineRule="auto"/>
        <w:jc w:val="both"/>
        <w:rPr>
          <w:rFonts w:eastAsiaTheme="minorHAnsi"/>
          <w:b/>
          <w:lang w:eastAsia="en-US"/>
        </w:rPr>
      </w:pPr>
      <w:r w:rsidRPr="00860C12">
        <w:rPr>
          <w:rFonts w:eastAsiaTheme="minorHAnsi"/>
          <w:b/>
          <w:lang w:eastAsia="en-US"/>
        </w:rPr>
        <w:t>Ustrojstvo Fakulteta</w:t>
      </w:r>
    </w:p>
    <w:p w14:paraId="7DA69141" w14:textId="77777777" w:rsidR="002C2710" w:rsidRPr="00860C12" w:rsidRDefault="002C2710" w:rsidP="00A70E85">
      <w:pPr>
        <w:pStyle w:val="Default"/>
        <w:spacing w:line="360" w:lineRule="auto"/>
        <w:jc w:val="both"/>
        <w:rPr>
          <w:lang w:val="hr-HR"/>
        </w:rPr>
      </w:pPr>
      <w:r w:rsidRPr="00860C12">
        <w:rPr>
          <w:lang w:val="hr-HR"/>
        </w:rPr>
        <w:t>Ustrojstvene jedinice Fakulteta jesu zavodi, katedre, laboratorij, tajništvo i knjižnica. Zavod je temeljna ustrojstvena jedinica Fakulteta za izvođenje nastavnog, znanstvenog i stručnog rada koja u svom sastavu može imati dvije ili više katedri.  Članovi zavoda su nastavnici, suradnici te stručni suradnici koji imaju ugovor o radu na Fakultetu i koji sudjeluju u izvođenju nastavnog, znanstvenog, umjetničkog i stručnog rada. Katedra je niža ustrojstvena jedinica zavoda za izvođenje prvenstveno nastavnog, ali i znanstvenog i stručnog rada. U pravilu se osniva za više srodnih predmeta, ali može biti i samostalna ustrojstvena jedinica za predmete koji ne zahtijevaju znanstveni pristup. Članovi Katedre su nastavnici i suradnici koji imaju ugovor o radu na Fakultetu i izvode nastavu odnosno sudjeluju u izvođenju nastave iz istog odnosno srodnih predmeta. Laboratorij je samostalna ustrojstvena jedinica na Fakultetu u kojoj se izvode znanstvena istraživanja vezana uz znanstvene programe i znanstvene projekte, stručna istraživanja i praktični dio nastave. Članovi laboratorija su nastavnici na znanstveno-nastavnom radnom mjestu, suradnici na suradničkim radnim mjestima, zaposlenici na stručnim radnim mjestima te laboranti koji imaju ugovor o radu na Fakultetu i koji sudjeluju u izvođenju praktičnog dijela nastave, znanstvenog i stručnog rada. Tajništvo je stručno-administrativna ustrojstvena jedinica Fakulteta za obavljanje pravnih, stručno-administrativnih, financijsko-računovodstvenih, poslova osiguravanja i unaprjeđivanja kvalitete, poslova vezanih uz studentska pitanja, tehničkih i pomoćnih poslova na Fakultetu te drugih poslova vezanih za uspješan rad Fakulteta utvrđenih Statutom i drugim općim aktima. Sve poslove Tajništvo obavlja za cijeli Fakultet, osim ako su ti poslovi u redovitoj djelatnosti drugih ustrojbenih jedinica Fakulteta utvrđenih Statutom i drugim općim aktima Fakulteta. Tajništvo ima niže ustrojstvene jedinice u svome sastavu. Radom tajništva rukovodi tajnik Fakulteta. Knjižnica je ustrojstvena jedinica Fakulteta za obavljanje knjižnično-informacijske zadaće i poslova vezanih za nastavne, znanstveno-istraživačke i stručne potrebe Fakulteta. Za neposredno i redovito rukovođenje u stručnim pitanjima, pitanjima rada s korisnicima, stjecanjem, zaštitom i obradom knjižničnog fonda, odgovoran je voditelj Knjižnice.</w:t>
      </w:r>
    </w:p>
    <w:p w14:paraId="3C4008BC" w14:textId="3E502347" w:rsidR="00F26B96" w:rsidRDefault="00F26B96" w:rsidP="00827D1E">
      <w:pPr>
        <w:spacing w:line="360" w:lineRule="auto"/>
        <w:jc w:val="both"/>
        <w:rPr>
          <w:b/>
          <w:bCs/>
        </w:rPr>
      </w:pPr>
    </w:p>
    <w:p w14:paraId="2366420C" w14:textId="25008560" w:rsidR="00241D8A" w:rsidRDefault="00241D8A" w:rsidP="00827D1E">
      <w:pPr>
        <w:spacing w:line="360" w:lineRule="auto"/>
        <w:jc w:val="both"/>
        <w:rPr>
          <w:b/>
          <w:bCs/>
        </w:rPr>
      </w:pPr>
    </w:p>
    <w:p w14:paraId="20098480" w14:textId="77777777" w:rsidR="00241D8A" w:rsidRDefault="00241D8A" w:rsidP="00827D1E">
      <w:pPr>
        <w:spacing w:line="360" w:lineRule="auto"/>
        <w:jc w:val="both"/>
        <w:rPr>
          <w:b/>
          <w:bCs/>
        </w:rPr>
      </w:pPr>
    </w:p>
    <w:p w14:paraId="126DF699" w14:textId="77777777" w:rsidR="00D855FB" w:rsidRPr="00860C12" w:rsidRDefault="00D855FB" w:rsidP="00D855F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BFBFBF" w:themeFill="background1" w:themeFillShade="BF"/>
        <w:spacing w:after="160" w:line="259" w:lineRule="auto"/>
        <w:jc w:val="both"/>
        <w:rPr>
          <w:rFonts w:eastAsiaTheme="minorHAnsi"/>
          <w:b/>
          <w:lang w:eastAsia="en-US"/>
        </w:rPr>
      </w:pPr>
      <w:r w:rsidRPr="00860C12">
        <w:rPr>
          <w:rFonts w:eastAsiaTheme="minorHAnsi"/>
          <w:b/>
          <w:lang w:eastAsia="en-US"/>
        </w:rPr>
        <w:lastRenderedPageBreak/>
        <w:t>Obrazloženje programa</w:t>
      </w:r>
    </w:p>
    <w:p w14:paraId="2EC2A5ED" w14:textId="60B5556F" w:rsidR="00827D1E" w:rsidRPr="00860C12" w:rsidRDefault="005E33D5" w:rsidP="00A70E85">
      <w:pPr>
        <w:spacing w:line="360" w:lineRule="auto"/>
        <w:jc w:val="both"/>
      </w:pPr>
      <w:r w:rsidRPr="00860C12">
        <w:rPr>
          <w:shd w:val="clear" w:color="auto" w:fill="FFFFFF"/>
        </w:rPr>
        <w:t>Studijski programi Građevinskog i arhitektonskog fakulteta Osijek temelj su suvremenog obrazovanja usmjerenog na razvoj praktičnih vještina i inženjerskog razmišljanja kroz rješavanje stvarnih problema. Oni pripremaju stručnjake za izazove u područjima građevinarstva te arhitekture i urbanizma, s fokusom na profesionalni razvoj i karijeru, dok poslijediplomski studiji naglasak stavljaju na znanstveno usavršavanje i istraživanje.</w:t>
      </w:r>
      <w:r w:rsidR="009D0294" w:rsidRPr="00860C12">
        <w:rPr>
          <w:shd w:val="clear" w:color="auto" w:fill="FFFFFF"/>
        </w:rPr>
        <w:t xml:space="preserve"> </w:t>
      </w:r>
      <w:r w:rsidR="00827D1E" w:rsidRPr="00860C12">
        <w:t xml:space="preserve">Znanstvenu, nastavnu i stručnu djelatnost na Fakultetu izvode znanstvenici, nastavnici, te suradnici čija se kvalificiranost utvrđuje izborom u znanstvena, znanstveno-nastavna, nastavna i suradnička zvanja. Visokoobrazovni nastavni rad jedna je od temeljnih djelatnosti </w:t>
      </w:r>
      <w:r w:rsidR="00827D1E" w:rsidRPr="00860C12">
        <w:rPr>
          <w:iCs/>
        </w:rPr>
        <w:t>Fakulteta</w:t>
      </w:r>
      <w:r w:rsidR="00827D1E" w:rsidRPr="00860C12">
        <w:t xml:space="preserve"> u kojem se obrazuju studenti, prema unaprijed utvrđenom nastavnom planu i programu te stječu odgovarajuće diplome. </w:t>
      </w:r>
    </w:p>
    <w:p w14:paraId="68BFB0E3" w14:textId="77777777" w:rsidR="00636E61" w:rsidRPr="00860C12" w:rsidRDefault="00636E61" w:rsidP="00A70E85">
      <w:pPr>
        <w:spacing w:line="360" w:lineRule="auto"/>
        <w:jc w:val="both"/>
      </w:pPr>
    </w:p>
    <w:p w14:paraId="639058DB" w14:textId="76A8A63A" w:rsidR="00EC5424" w:rsidRPr="00860C12" w:rsidRDefault="00636E61" w:rsidP="00E209D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BFBFBF" w:themeFill="background1" w:themeFillShade="BF"/>
        <w:spacing w:after="160" w:line="360" w:lineRule="auto"/>
        <w:jc w:val="both"/>
        <w:rPr>
          <w:rFonts w:eastAsiaTheme="minorHAnsi"/>
          <w:b/>
          <w:lang w:eastAsia="en-US"/>
        </w:rPr>
      </w:pPr>
      <w:r w:rsidRPr="00860C12">
        <w:rPr>
          <w:rFonts w:eastAsiaTheme="minorHAnsi"/>
          <w:b/>
          <w:lang w:eastAsia="en-US"/>
        </w:rPr>
        <w:t>Program cjeloživotnog obrazovanja</w:t>
      </w:r>
    </w:p>
    <w:p w14:paraId="2BB16757" w14:textId="05D8A721" w:rsidR="00827D1E" w:rsidRPr="00860C12" w:rsidRDefault="00827D1E" w:rsidP="00A70E85">
      <w:pPr>
        <w:pStyle w:val="ListParagraph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0C12">
        <w:rPr>
          <w:rFonts w:ascii="Times New Roman" w:hAnsi="Times New Roman" w:cs="Times New Roman"/>
          <w:sz w:val="24"/>
          <w:szCs w:val="24"/>
        </w:rPr>
        <w:t xml:space="preserve">Statutom Sveučilišta i Pravilnikom o studijima i studiranju na Sveučilištu utvrđeno je da Fakultet može osnivati različite programe stručnog usavršavanja, imajući u vidu koncept cjeloživotnog obrazovanja i usavršavanja. Takav se program ne smatra studijem u smislu Zakona. Po završetku programa stručnog usavršavanja Fakultet polazniku izdaje posebnu potvrdu. </w:t>
      </w:r>
      <w:r w:rsidR="00EC5424" w:rsidRPr="00860C12">
        <w:rPr>
          <w:rFonts w:ascii="Times New Roman" w:hAnsi="Times New Roman" w:cs="Times New Roman"/>
          <w:sz w:val="24"/>
          <w:szCs w:val="24"/>
          <w:shd w:val="clear" w:color="auto" w:fill="FFFFFF"/>
        </w:rPr>
        <w:t>Sukladno tome, Građevinski i arhitektonski fakultet Osijek već deset godina provodi program izobrazbe osoba koje provode energetsko certificiranje, energetski pregled zgrade i redoviti pregled sustava grijanja i sustava hlađenja ili klimatizacije u zgradi temeljem suglasnosti koju izdaje Ministarstvo prostornog uređenja, graditeljstva i državne imovine. Završetkom ovih programa, polaznici unaprjeđuju ne samo svoje kompetencije u području energetske održivosti i učinkovitosti već i opseg poslova i usluga koje mogu ponuditi na tržištu rada.</w:t>
      </w:r>
    </w:p>
    <w:p w14:paraId="63697A06" w14:textId="77777777" w:rsidR="009D0294" w:rsidRPr="00860C12" w:rsidRDefault="009D0294" w:rsidP="00A70E85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DFFCC" w14:textId="66AB1C90" w:rsidR="00636E61" w:rsidRPr="00860C12" w:rsidRDefault="00636E61" w:rsidP="00E209D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BFBFBF" w:themeFill="background1" w:themeFillShade="BF"/>
        <w:spacing w:after="160" w:line="360" w:lineRule="auto"/>
        <w:jc w:val="both"/>
        <w:rPr>
          <w:rFonts w:eastAsiaTheme="minorHAnsi"/>
          <w:b/>
          <w:lang w:eastAsia="en-US"/>
        </w:rPr>
      </w:pPr>
      <w:r w:rsidRPr="00860C12">
        <w:rPr>
          <w:rFonts w:eastAsiaTheme="minorHAnsi"/>
          <w:b/>
          <w:lang w:eastAsia="en-US"/>
        </w:rPr>
        <w:t>Međunarodna suradnja</w:t>
      </w:r>
    </w:p>
    <w:p w14:paraId="339A6808" w14:textId="2B3E27B7" w:rsidR="00827D1E" w:rsidRDefault="00827D1E" w:rsidP="00A70E85">
      <w:pPr>
        <w:spacing w:after="150" w:line="360" w:lineRule="auto"/>
        <w:jc w:val="both"/>
        <w:rPr>
          <w:lang w:eastAsia="en-US"/>
        </w:rPr>
      </w:pPr>
      <w:r w:rsidRPr="00860C12">
        <w:rPr>
          <w:lang w:eastAsia="en-US"/>
        </w:rPr>
        <w:t xml:space="preserve">Na </w:t>
      </w:r>
      <w:r w:rsidR="00383CBC" w:rsidRPr="00860C12">
        <w:t xml:space="preserve">Građevinskom i arhitektonskom fakulteta Osijek </w:t>
      </w:r>
      <w:r w:rsidRPr="00860C12">
        <w:rPr>
          <w:lang w:eastAsia="en-US"/>
        </w:rPr>
        <w:t xml:space="preserve">realizira se velik broj različitih vidova međunarodne suradnje kao što su suradnja temeljem bilateralnih ugovora o znanstvenoj i nastavnoj suradnji s inozemnim visokim učilištima, međunarodni stručni i znanstveni projekti, uključivanje u međunarodne mreže srodnih institucija, organizacija međunarodnih konferencija, seminara i ljetnih škola, sudjelovanje na međunarodnim konferencijama, seminarima i ljetnim školama u organizaciji drugih dionika, uključivanje vanjskih suradnika i </w:t>
      </w:r>
      <w:r w:rsidRPr="00860C12">
        <w:rPr>
          <w:lang w:eastAsia="en-US"/>
        </w:rPr>
        <w:lastRenderedPageBreak/>
        <w:t>pozvanih predavača iz inozemstva u nastavu na svim razinama studija, vanjska suradnja nastavnika Fakulteta na inozemnim institucijama, individualna suradnja pojedinih nastavnika s inozemnim institucijama, sudjelovanje u programima stipendiranja dolazne i odlazne međunarodne mobilnosti</w:t>
      </w:r>
      <w:r w:rsidR="00383CBC" w:rsidRPr="00860C12">
        <w:rPr>
          <w:lang w:eastAsia="en-US"/>
        </w:rPr>
        <w:t>.</w:t>
      </w:r>
      <w:r w:rsidRPr="00860C12">
        <w:rPr>
          <w:lang w:eastAsia="en-US"/>
        </w:rPr>
        <w:t xml:space="preserve"> </w:t>
      </w:r>
    </w:p>
    <w:p w14:paraId="0A8665EF" w14:textId="77777777" w:rsidR="00241D8A" w:rsidRPr="00860C12" w:rsidRDefault="00241D8A" w:rsidP="00A70E85">
      <w:pPr>
        <w:spacing w:after="150" w:line="360" w:lineRule="auto"/>
        <w:jc w:val="both"/>
        <w:rPr>
          <w:lang w:eastAsia="en-US"/>
        </w:rPr>
      </w:pPr>
    </w:p>
    <w:p w14:paraId="4C9636DC" w14:textId="5E92AA9A" w:rsidR="00C51C46" w:rsidRPr="00860C12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860C12">
        <w:rPr>
          <w:rFonts w:eastAsiaTheme="minorHAnsi"/>
          <w:b/>
          <w:lang w:eastAsia="en-US"/>
        </w:rPr>
        <w:t>A621</w:t>
      </w:r>
      <w:r w:rsidR="00827D1E" w:rsidRPr="00860C12">
        <w:rPr>
          <w:rFonts w:eastAsiaTheme="minorHAnsi"/>
          <w:b/>
          <w:lang w:eastAsia="en-US"/>
        </w:rPr>
        <w:t>003</w:t>
      </w:r>
      <w:r w:rsidRPr="00860C12">
        <w:rPr>
          <w:rFonts w:eastAsiaTheme="minorHAnsi"/>
          <w:b/>
          <w:lang w:eastAsia="en-US"/>
        </w:rPr>
        <w:t xml:space="preserve"> Redovna djelatnost Sveučilišta u </w:t>
      </w:r>
      <w:r w:rsidR="00827D1E" w:rsidRPr="00860C12">
        <w:rPr>
          <w:rFonts w:eastAsiaTheme="minorHAnsi"/>
          <w:b/>
          <w:lang w:eastAsia="en-US"/>
        </w:rPr>
        <w:t>Osijeku</w:t>
      </w:r>
    </w:p>
    <w:p w14:paraId="4FEEDB7A" w14:textId="77777777" w:rsidR="000211AB" w:rsidRPr="00860C12" w:rsidRDefault="000211AB" w:rsidP="00C51C46">
      <w:pPr>
        <w:jc w:val="both"/>
        <w:rPr>
          <w:iCs/>
          <w:rtl/>
          <w:cs/>
          <w:lang w:bidi="ta-IN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57"/>
        <w:gridCol w:w="1559"/>
        <w:gridCol w:w="2516"/>
        <w:gridCol w:w="1169"/>
      </w:tblGrid>
      <w:tr w:rsidR="002B373F" w:rsidRPr="00860C12" w14:paraId="2CAC5A78" w14:textId="77777777" w:rsidTr="00B96541">
        <w:trPr>
          <w:trHeight w:val="511"/>
          <w:jc w:val="center"/>
        </w:trPr>
        <w:tc>
          <w:tcPr>
            <w:tcW w:w="2157" w:type="dxa"/>
            <w:shd w:val="clear" w:color="auto" w:fill="BFBFBF" w:themeFill="background1" w:themeFillShade="BF"/>
            <w:vAlign w:val="center"/>
          </w:tcPr>
          <w:p w14:paraId="68152F1F" w14:textId="3B47667F" w:rsidR="002B373F" w:rsidRPr="00860C12" w:rsidRDefault="002B373F" w:rsidP="002B373F">
            <w:pPr>
              <w:jc w:val="center"/>
              <w:rPr>
                <w:b/>
              </w:rPr>
            </w:pPr>
            <w:r w:rsidRPr="00860C12">
              <w:rPr>
                <w:b/>
              </w:rPr>
              <w:t>Aktivnost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C4E4878" w14:textId="1E467A49" w:rsidR="002B373F" w:rsidRPr="00860C12" w:rsidRDefault="00AC2006" w:rsidP="002B373F">
            <w:pPr>
              <w:jc w:val="center"/>
              <w:rPr>
                <w:b/>
              </w:rPr>
            </w:pPr>
            <w:r w:rsidRPr="00860C12">
              <w:rPr>
                <w:b/>
              </w:rPr>
              <w:t>Izvorni plan ili rebalans 2023.</w:t>
            </w:r>
          </w:p>
        </w:tc>
        <w:tc>
          <w:tcPr>
            <w:tcW w:w="2516" w:type="dxa"/>
            <w:shd w:val="clear" w:color="auto" w:fill="BFBFBF" w:themeFill="background1" w:themeFillShade="BF"/>
            <w:vAlign w:val="center"/>
          </w:tcPr>
          <w:p w14:paraId="623F18B4" w14:textId="6340D41E" w:rsidR="002B373F" w:rsidRPr="00860C12" w:rsidRDefault="00AC2006" w:rsidP="002B373F">
            <w:pPr>
              <w:jc w:val="center"/>
            </w:pPr>
            <w:r w:rsidRPr="00860C12">
              <w:rPr>
                <w:b/>
              </w:rPr>
              <w:t>Ostvarenje/izvršenje 2023.</w:t>
            </w:r>
          </w:p>
        </w:tc>
        <w:tc>
          <w:tcPr>
            <w:tcW w:w="1169" w:type="dxa"/>
            <w:shd w:val="clear" w:color="auto" w:fill="BFBFBF" w:themeFill="background1" w:themeFillShade="BF"/>
            <w:vAlign w:val="center"/>
          </w:tcPr>
          <w:p w14:paraId="29A3AE00" w14:textId="5AD63AB0" w:rsidR="002B373F" w:rsidRPr="00860C12" w:rsidRDefault="00AC2006" w:rsidP="002B373F">
            <w:pPr>
              <w:jc w:val="center"/>
            </w:pPr>
            <w:r w:rsidRPr="00860C12">
              <w:rPr>
                <w:b/>
              </w:rPr>
              <w:t>Indeks</w:t>
            </w:r>
          </w:p>
        </w:tc>
      </w:tr>
      <w:tr w:rsidR="002B373F" w:rsidRPr="00860C12" w14:paraId="7F0A4B29" w14:textId="77777777" w:rsidTr="00B96541">
        <w:trPr>
          <w:trHeight w:val="1218"/>
          <w:jc w:val="center"/>
        </w:trPr>
        <w:tc>
          <w:tcPr>
            <w:tcW w:w="2157" w:type="dxa"/>
          </w:tcPr>
          <w:p w14:paraId="6839F891" w14:textId="77777777" w:rsidR="00B47B14" w:rsidRPr="00860C12" w:rsidRDefault="00B47B14" w:rsidP="00C51C46"/>
          <w:p w14:paraId="7C441214" w14:textId="33CA054C" w:rsidR="002B373F" w:rsidRPr="00860C12" w:rsidRDefault="002B373F" w:rsidP="00C51C46">
            <w:r w:rsidRPr="00860C12">
              <w:t>A621003</w:t>
            </w:r>
          </w:p>
          <w:p w14:paraId="5A76734A" w14:textId="090E75FE" w:rsidR="002B373F" w:rsidRPr="00860C12" w:rsidRDefault="002B373F" w:rsidP="00C51C46">
            <w:r w:rsidRPr="00860C12">
              <w:t>Redovna djelatnost Sveučilišta u Osijeku</w:t>
            </w:r>
          </w:p>
        </w:tc>
        <w:tc>
          <w:tcPr>
            <w:tcW w:w="1559" w:type="dxa"/>
          </w:tcPr>
          <w:p w14:paraId="0E0DCA23" w14:textId="77777777" w:rsidR="00AC2006" w:rsidRPr="00860C12" w:rsidRDefault="00AC2006" w:rsidP="00B5154B">
            <w:pPr>
              <w:jc w:val="center"/>
            </w:pPr>
          </w:p>
          <w:p w14:paraId="0991556C" w14:textId="77777777" w:rsidR="00AC2006" w:rsidRPr="00860C12" w:rsidRDefault="00AC2006" w:rsidP="00B5154B">
            <w:pPr>
              <w:jc w:val="center"/>
            </w:pPr>
          </w:p>
          <w:p w14:paraId="41D558D1" w14:textId="42106221" w:rsidR="00CD6F70" w:rsidRPr="00860C12" w:rsidRDefault="00AC2006" w:rsidP="00B5154B">
            <w:pPr>
              <w:jc w:val="center"/>
            </w:pPr>
            <w:r w:rsidRPr="00860C12">
              <w:t>2.855.358,00</w:t>
            </w:r>
          </w:p>
        </w:tc>
        <w:tc>
          <w:tcPr>
            <w:tcW w:w="2516" w:type="dxa"/>
          </w:tcPr>
          <w:p w14:paraId="48E87F0A" w14:textId="77777777" w:rsidR="00B5154B" w:rsidRPr="00860C12" w:rsidRDefault="00B5154B" w:rsidP="00B5154B">
            <w:pPr>
              <w:jc w:val="center"/>
            </w:pPr>
          </w:p>
          <w:p w14:paraId="386C4204" w14:textId="77777777" w:rsidR="00AC2006" w:rsidRPr="00860C12" w:rsidRDefault="00AC2006" w:rsidP="00B5154B">
            <w:pPr>
              <w:jc w:val="center"/>
            </w:pPr>
          </w:p>
          <w:p w14:paraId="30BD1CA6" w14:textId="42DF2417" w:rsidR="00AC2006" w:rsidRPr="00860C12" w:rsidRDefault="00AC2006" w:rsidP="00B5154B">
            <w:pPr>
              <w:jc w:val="center"/>
            </w:pPr>
            <w:r w:rsidRPr="00860C12">
              <w:t>2.848.142,83</w:t>
            </w:r>
          </w:p>
        </w:tc>
        <w:tc>
          <w:tcPr>
            <w:tcW w:w="1169" w:type="dxa"/>
          </w:tcPr>
          <w:p w14:paraId="73C4CA37" w14:textId="77777777" w:rsidR="00B5154B" w:rsidRPr="00860C12" w:rsidRDefault="00B5154B" w:rsidP="00B5154B">
            <w:pPr>
              <w:jc w:val="center"/>
            </w:pPr>
          </w:p>
          <w:p w14:paraId="7D144349" w14:textId="77777777" w:rsidR="00AC2006" w:rsidRPr="00860C12" w:rsidRDefault="00AC2006" w:rsidP="00B5154B">
            <w:pPr>
              <w:jc w:val="center"/>
            </w:pPr>
          </w:p>
          <w:p w14:paraId="6200D429" w14:textId="4DAA9805" w:rsidR="00AC2006" w:rsidRPr="00860C12" w:rsidRDefault="00AC2006" w:rsidP="00B5154B">
            <w:pPr>
              <w:jc w:val="center"/>
            </w:pPr>
            <w:r w:rsidRPr="00860C12">
              <w:t>99,75</w:t>
            </w:r>
          </w:p>
        </w:tc>
      </w:tr>
    </w:tbl>
    <w:p w14:paraId="2F5DE763" w14:textId="0A8A8EFC" w:rsidR="002B373F" w:rsidRPr="00860C12" w:rsidRDefault="002B373F" w:rsidP="00A70E85">
      <w:pPr>
        <w:spacing w:before="240" w:line="360" w:lineRule="auto"/>
        <w:jc w:val="both"/>
      </w:pPr>
      <w:r w:rsidRPr="00860C12">
        <w:t>Ova aktivnost</w:t>
      </w:r>
      <w:r w:rsidR="00515C2D">
        <w:t xml:space="preserve"> </w:t>
      </w:r>
      <w:r w:rsidRPr="00860C12">
        <w:t>sastoji se od sljedećih</w:t>
      </w:r>
      <w:r w:rsidR="00515C2D">
        <w:t xml:space="preserve"> rashoda</w:t>
      </w:r>
      <w:r w:rsidRPr="00860C12">
        <w:t>:</w:t>
      </w:r>
    </w:p>
    <w:p w14:paraId="40827EEE" w14:textId="71042134" w:rsidR="002B373F" w:rsidRPr="00860C12" w:rsidRDefault="002B373F" w:rsidP="00A70E85">
      <w:pPr>
        <w:numPr>
          <w:ilvl w:val="0"/>
          <w:numId w:val="12"/>
        </w:numPr>
        <w:spacing w:line="360" w:lineRule="auto"/>
        <w:contextualSpacing/>
        <w:jc w:val="both"/>
        <w:rPr>
          <w:rFonts w:eastAsia="Calibri"/>
        </w:rPr>
      </w:pPr>
      <w:r w:rsidRPr="00860C12">
        <w:rPr>
          <w:rFonts w:eastAsia="Calibri"/>
        </w:rPr>
        <w:t>Rashodi za plaće (plaće za redovan radi i doprinosi za obvezno zdravstveno osiguranje)</w:t>
      </w:r>
      <w:r w:rsidR="00B5154B" w:rsidRPr="00860C12">
        <w:rPr>
          <w:rFonts w:eastAsia="Calibri"/>
        </w:rPr>
        <w:t xml:space="preserve"> </w:t>
      </w:r>
      <w:r w:rsidR="00B5154B" w:rsidRPr="00860C12">
        <w:rPr>
          <w:rFonts w:eastAsia="Calibri"/>
          <w:color w:val="FF0000"/>
        </w:rPr>
        <w:t xml:space="preserve"> </w:t>
      </w:r>
    </w:p>
    <w:p w14:paraId="694C529D" w14:textId="77777777" w:rsidR="002B373F" w:rsidRPr="00860C12" w:rsidRDefault="002B373F" w:rsidP="00A70E85">
      <w:pPr>
        <w:numPr>
          <w:ilvl w:val="0"/>
          <w:numId w:val="12"/>
        </w:numPr>
        <w:spacing w:line="360" w:lineRule="auto"/>
        <w:contextualSpacing/>
        <w:jc w:val="both"/>
        <w:rPr>
          <w:rFonts w:eastAsia="Calibri"/>
        </w:rPr>
      </w:pPr>
      <w:r w:rsidRPr="00860C12">
        <w:rPr>
          <w:rFonts w:eastAsia="Calibri"/>
        </w:rPr>
        <w:t>Ostali rashodi za zaposlene (materijalna prava zaposlenika)</w:t>
      </w:r>
    </w:p>
    <w:p w14:paraId="300A4F4A" w14:textId="77777777" w:rsidR="002B373F" w:rsidRPr="00860C12" w:rsidRDefault="002B373F" w:rsidP="00A70E85">
      <w:pPr>
        <w:numPr>
          <w:ilvl w:val="0"/>
          <w:numId w:val="12"/>
        </w:numPr>
        <w:spacing w:line="360" w:lineRule="auto"/>
        <w:contextualSpacing/>
        <w:jc w:val="both"/>
        <w:rPr>
          <w:rFonts w:eastAsia="Calibri"/>
        </w:rPr>
      </w:pPr>
      <w:r w:rsidRPr="00860C12">
        <w:rPr>
          <w:rFonts w:eastAsia="Calibri"/>
        </w:rPr>
        <w:t>Naknada za prijevoz na posao i s posla</w:t>
      </w:r>
    </w:p>
    <w:p w14:paraId="1690A633" w14:textId="77777777" w:rsidR="002B373F" w:rsidRPr="00860C12" w:rsidRDefault="002B373F" w:rsidP="00A70E85">
      <w:pPr>
        <w:numPr>
          <w:ilvl w:val="0"/>
          <w:numId w:val="12"/>
        </w:numPr>
        <w:spacing w:line="360" w:lineRule="auto"/>
        <w:contextualSpacing/>
        <w:jc w:val="both"/>
        <w:rPr>
          <w:rFonts w:eastAsia="Calibri"/>
        </w:rPr>
      </w:pPr>
      <w:r w:rsidRPr="00860C12">
        <w:rPr>
          <w:rFonts w:eastAsia="Calibri"/>
        </w:rPr>
        <w:t>Sistematski pregledi zaposlenika</w:t>
      </w:r>
    </w:p>
    <w:p w14:paraId="46449D9C" w14:textId="393E6F3C" w:rsidR="002B373F" w:rsidRDefault="002B373F" w:rsidP="00A70E85">
      <w:pPr>
        <w:numPr>
          <w:ilvl w:val="0"/>
          <w:numId w:val="12"/>
        </w:numPr>
        <w:spacing w:line="360" w:lineRule="auto"/>
        <w:contextualSpacing/>
        <w:jc w:val="both"/>
        <w:rPr>
          <w:rFonts w:eastAsia="Calibri"/>
        </w:rPr>
      </w:pPr>
      <w:r w:rsidRPr="00860C12">
        <w:rPr>
          <w:rFonts w:eastAsia="Calibri"/>
        </w:rPr>
        <w:t>Novčana naknada poslodavca zbog nezapošljavanja osoba s invaliditetom</w:t>
      </w:r>
      <w:r w:rsidR="00241D8A">
        <w:rPr>
          <w:rFonts w:eastAsia="Calibri"/>
        </w:rPr>
        <w:t>.</w:t>
      </w:r>
    </w:p>
    <w:p w14:paraId="5DA90C01" w14:textId="77777777" w:rsidR="00241D8A" w:rsidRPr="00860C12" w:rsidRDefault="00241D8A" w:rsidP="00241D8A">
      <w:pPr>
        <w:spacing w:line="360" w:lineRule="auto"/>
        <w:ind w:left="1080"/>
        <w:contextualSpacing/>
        <w:jc w:val="both"/>
        <w:rPr>
          <w:rFonts w:eastAsia="Calibri"/>
        </w:rPr>
      </w:pPr>
    </w:p>
    <w:p w14:paraId="424B5DB0" w14:textId="737BF2F6" w:rsidR="00C51C46" w:rsidRDefault="002B373F" w:rsidP="00A70E85">
      <w:pPr>
        <w:spacing w:line="360" w:lineRule="auto"/>
        <w:jc w:val="both"/>
      </w:pPr>
      <w:r w:rsidRPr="00860C12">
        <w:t>Redovna djelatnost Sveučilišta u Osijeku (aktivnost u proračunu A621003) sastavni je dio financijskog plana, provodi se svake godine i pozicija je na kojoj se planira i ostvaruje najveći iznos rashoda.</w:t>
      </w:r>
      <w:r w:rsidR="003634AD" w:rsidRPr="00860C12">
        <w:t xml:space="preserve"> Iznose za ovu aktivnost sve sastavnice dobiju od Sveučilišta</w:t>
      </w:r>
      <w:r w:rsidR="00515C2D">
        <w:t xml:space="preserve"> i izvršenje je realizirano sukladno dobivenim limitima.</w:t>
      </w:r>
    </w:p>
    <w:p w14:paraId="7524A9E5" w14:textId="4E3A46FB" w:rsidR="00515C2D" w:rsidRDefault="00515C2D" w:rsidP="00A70E85">
      <w:pPr>
        <w:spacing w:line="360" w:lineRule="auto"/>
        <w:jc w:val="both"/>
      </w:pPr>
    </w:p>
    <w:p w14:paraId="2CC1E699" w14:textId="61013C1E" w:rsidR="00D425A1" w:rsidRDefault="00D425A1" w:rsidP="00A70E85">
      <w:pPr>
        <w:spacing w:line="360" w:lineRule="auto"/>
        <w:jc w:val="both"/>
      </w:pPr>
    </w:p>
    <w:p w14:paraId="076C30E1" w14:textId="1D7F035A" w:rsidR="00241D8A" w:rsidRDefault="00241D8A" w:rsidP="00A70E85">
      <w:pPr>
        <w:spacing w:line="360" w:lineRule="auto"/>
        <w:jc w:val="both"/>
      </w:pPr>
    </w:p>
    <w:p w14:paraId="2CB065D1" w14:textId="77777777" w:rsidR="0072413C" w:rsidRDefault="0072413C" w:rsidP="00A70E85">
      <w:pPr>
        <w:spacing w:line="360" w:lineRule="auto"/>
        <w:jc w:val="both"/>
      </w:pPr>
    </w:p>
    <w:p w14:paraId="636EF08E" w14:textId="320F5C24" w:rsidR="00241D8A" w:rsidRDefault="00241D8A" w:rsidP="00A70E85">
      <w:pPr>
        <w:spacing w:line="360" w:lineRule="auto"/>
        <w:jc w:val="both"/>
      </w:pPr>
    </w:p>
    <w:p w14:paraId="124EA1C7" w14:textId="6DA11AD1" w:rsidR="00241D8A" w:rsidRDefault="00241D8A" w:rsidP="00A70E85">
      <w:pPr>
        <w:spacing w:line="360" w:lineRule="auto"/>
        <w:jc w:val="both"/>
      </w:pPr>
    </w:p>
    <w:p w14:paraId="588EC7B9" w14:textId="77777777" w:rsidR="00241D8A" w:rsidRDefault="00241D8A" w:rsidP="00A70E85">
      <w:pPr>
        <w:spacing w:line="360" w:lineRule="auto"/>
        <w:jc w:val="both"/>
      </w:pPr>
    </w:p>
    <w:p w14:paraId="22111BC0" w14:textId="77777777" w:rsidR="00515C2D" w:rsidRPr="00860C12" w:rsidRDefault="00515C2D" w:rsidP="00A70E85">
      <w:pPr>
        <w:spacing w:line="360" w:lineRule="auto"/>
        <w:jc w:val="both"/>
      </w:pPr>
    </w:p>
    <w:p w14:paraId="52A781BE" w14:textId="4966A8C7" w:rsidR="00693BD9" w:rsidRPr="00860C12" w:rsidRDefault="00C51C46" w:rsidP="003634AD">
      <w:pPr>
        <w:pBdr>
          <w:top w:val="dotted" w:sz="4" w:space="1" w:color="808080" w:themeColor="background1" w:themeShade="80"/>
          <w:bottom w:val="dotted" w:sz="4" w:space="0" w:color="808080" w:themeColor="background1" w:themeShade="80"/>
        </w:pBdr>
        <w:shd w:val="clear" w:color="auto" w:fill="D0CECE" w:themeFill="background2" w:themeFillShade="E6"/>
        <w:spacing w:after="160" w:line="360" w:lineRule="auto"/>
        <w:jc w:val="both"/>
        <w:rPr>
          <w:rFonts w:eastAsiaTheme="minorHAnsi"/>
          <w:b/>
          <w:lang w:eastAsia="en-US"/>
        </w:rPr>
      </w:pPr>
      <w:r w:rsidRPr="00860C12">
        <w:rPr>
          <w:rFonts w:eastAsiaTheme="minorHAnsi"/>
          <w:b/>
          <w:lang w:eastAsia="en-US"/>
        </w:rPr>
        <w:lastRenderedPageBreak/>
        <w:t>A622122 Programsko financ</w:t>
      </w:r>
      <w:r w:rsidR="003634AD" w:rsidRPr="00860C12">
        <w:rPr>
          <w:rFonts w:eastAsiaTheme="minorHAnsi"/>
          <w:b/>
          <w:lang w:eastAsia="en-US"/>
        </w:rPr>
        <w:t xml:space="preserve">iranje javnih visokih učilišta </w:t>
      </w:r>
    </w:p>
    <w:p w14:paraId="1B8CDF52" w14:textId="77777777" w:rsidR="006A734B" w:rsidRPr="00860C12" w:rsidRDefault="006A734B" w:rsidP="006A734B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99"/>
        <w:gridCol w:w="1665"/>
        <w:gridCol w:w="2410"/>
        <w:gridCol w:w="1134"/>
      </w:tblGrid>
      <w:tr w:rsidR="00AC2006" w:rsidRPr="00860C12" w14:paraId="6B32AAF2" w14:textId="77777777" w:rsidTr="00B96541">
        <w:trPr>
          <w:trHeight w:val="587"/>
          <w:jc w:val="center"/>
        </w:trPr>
        <w:tc>
          <w:tcPr>
            <w:tcW w:w="2299" w:type="dxa"/>
            <w:shd w:val="clear" w:color="auto" w:fill="BFBFBF" w:themeFill="background1" w:themeFillShade="BF"/>
            <w:vAlign w:val="center"/>
          </w:tcPr>
          <w:p w14:paraId="433BFE95" w14:textId="77777777" w:rsidR="00AC2006" w:rsidRPr="00860C12" w:rsidRDefault="00AC2006" w:rsidP="00AC2006">
            <w:pPr>
              <w:jc w:val="center"/>
              <w:rPr>
                <w:b/>
              </w:rPr>
            </w:pPr>
            <w:r w:rsidRPr="00860C12">
              <w:rPr>
                <w:b/>
              </w:rPr>
              <w:t>Aktivnost</w:t>
            </w:r>
          </w:p>
        </w:tc>
        <w:tc>
          <w:tcPr>
            <w:tcW w:w="1665" w:type="dxa"/>
            <w:shd w:val="clear" w:color="auto" w:fill="BFBFBF" w:themeFill="background1" w:themeFillShade="BF"/>
            <w:vAlign w:val="center"/>
          </w:tcPr>
          <w:p w14:paraId="48A92759" w14:textId="048457A0" w:rsidR="00AC2006" w:rsidRPr="00860C12" w:rsidRDefault="00AC2006" w:rsidP="00AC2006">
            <w:pPr>
              <w:jc w:val="center"/>
              <w:rPr>
                <w:b/>
              </w:rPr>
            </w:pPr>
            <w:r w:rsidRPr="00860C12">
              <w:rPr>
                <w:b/>
              </w:rPr>
              <w:t>Izvorni plan ili rebalans 2023.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F936A2C" w14:textId="136A608F" w:rsidR="00AC2006" w:rsidRPr="00860C12" w:rsidRDefault="00AC2006" w:rsidP="00AC2006">
            <w:pPr>
              <w:jc w:val="center"/>
            </w:pPr>
            <w:r w:rsidRPr="00860C12">
              <w:rPr>
                <w:b/>
              </w:rPr>
              <w:t>Ostvarenje/izvršenje 2023.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9C37A2B" w14:textId="6F9A9B16" w:rsidR="00AC2006" w:rsidRPr="00860C12" w:rsidRDefault="00AC2006" w:rsidP="00AC2006">
            <w:pPr>
              <w:jc w:val="center"/>
            </w:pPr>
            <w:r w:rsidRPr="00860C12">
              <w:rPr>
                <w:b/>
              </w:rPr>
              <w:t>Indeks</w:t>
            </w:r>
          </w:p>
        </w:tc>
      </w:tr>
      <w:tr w:rsidR="00DF42F7" w:rsidRPr="00860C12" w14:paraId="31DB1350" w14:textId="77777777" w:rsidTr="00B96541">
        <w:trPr>
          <w:trHeight w:val="1598"/>
          <w:jc w:val="center"/>
        </w:trPr>
        <w:tc>
          <w:tcPr>
            <w:tcW w:w="2299" w:type="dxa"/>
          </w:tcPr>
          <w:p w14:paraId="367ED96E" w14:textId="77777777" w:rsidR="001D1697" w:rsidRPr="00860C12" w:rsidRDefault="001D1697" w:rsidP="000211AB"/>
          <w:p w14:paraId="2F1B764B" w14:textId="341C2331" w:rsidR="00DF42F7" w:rsidRPr="00860C12" w:rsidRDefault="00DF42F7" w:rsidP="000211AB">
            <w:r w:rsidRPr="00860C12">
              <w:t>A622122</w:t>
            </w:r>
          </w:p>
          <w:p w14:paraId="315EC0FE" w14:textId="455D3ED5" w:rsidR="00DF42F7" w:rsidRPr="00860C12" w:rsidRDefault="00DF42F7" w:rsidP="000211AB">
            <w:r w:rsidRPr="00860C12">
              <w:t>Programsko financiranje</w:t>
            </w:r>
            <w:r w:rsidR="000211AB" w:rsidRPr="00860C12">
              <w:t xml:space="preserve"> </w:t>
            </w:r>
            <w:r w:rsidRPr="00860C12">
              <w:t>javnih visokih učilišta</w:t>
            </w:r>
          </w:p>
        </w:tc>
        <w:tc>
          <w:tcPr>
            <w:tcW w:w="1665" w:type="dxa"/>
            <w:vAlign w:val="center"/>
          </w:tcPr>
          <w:p w14:paraId="1B1EA326" w14:textId="20EC0549" w:rsidR="00DF42F7" w:rsidRPr="00860C12" w:rsidRDefault="00AC2006" w:rsidP="00DF42F7">
            <w:pPr>
              <w:jc w:val="center"/>
            </w:pPr>
            <w:r w:rsidRPr="00860C12">
              <w:t>406.032,00</w:t>
            </w:r>
          </w:p>
        </w:tc>
        <w:tc>
          <w:tcPr>
            <w:tcW w:w="2410" w:type="dxa"/>
            <w:vAlign w:val="center"/>
          </w:tcPr>
          <w:p w14:paraId="0165983D" w14:textId="0F737131" w:rsidR="00DF42F7" w:rsidRPr="00860C12" w:rsidRDefault="00AC2006" w:rsidP="00DF42F7">
            <w:pPr>
              <w:jc w:val="center"/>
            </w:pPr>
            <w:r w:rsidRPr="00860C12">
              <w:t>297.109,95</w:t>
            </w:r>
          </w:p>
        </w:tc>
        <w:tc>
          <w:tcPr>
            <w:tcW w:w="1134" w:type="dxa"/>
            <w:vAlign w:val="center"/>
          </w:tcPr>
          <w:p w14:paraId="318E0ED0" w14:textId="7A4F7866" w:rsidR="00DF42F7" w:rsidRPr="00860C12" w:rsidRDefault="00AC2006" w:rsidP="00DF42F7">
            <w:pPr>
              <w:jc w:val="center"/>
            </w:pPr>
            <w:r w:rsidRPr="00860C12">
              <w:t>73,17</w:t>
            </w:r>
          </w:p>
        </w:tc>
      </w:tr>
    </w:tbl>
    <w:p w14:paraId="4ED5C193" w14:textId="50DB81C9" w:rsidR="00C51C46" w:rsidRPr="00860C12" w:rsidRDefault="00C51C46" w:rsidP="00A70E85">
      <w:pPr>
        <w:spacing w:line="360" w:lineRule="auto"/>
        <w:jc w:val="both"/>
        <w:rPr>
          <w:b/>
        </w:rPr>
      </w:pPr>
    </w:p>
    <w:p w14:paraId="796FF313" w14:textId="540D9FB6" w:rsidR="00C51C46" w:rsidRDefault="00B6509B" w:rsidP="00A70E85">
      <w:pPr>
        <w:spacing w:line="360" w:lineRule="auto"/>
        <w:jc w:val="both"/>
      </w:pPr>
      <w:r>
        <w:t xml:space="preserve">Sveučilište Josipa Jurja Strossmayera </w:t>
      </w:r>
      <w:r w:rsidR="005719A9">
        <w:t xml:space="preserve">u </w:t>
      </w:r>
      <w:r>
        <w:t>Osijek</w:t>
      </w:r>
      <w:r w:rsidR="005719A9">
        <w:t>u</w:t>
      </w:r>
      <w:r>
        <w:t xml:space="preserve"> svake godine dostavlja limite svim sastavnicama Sveučilišta</w:t>
      </w:r>
      <w:r w:rsidR="005719A9">
        <w:t xml:space="preserve"> u Osijeku</w:t>
      </w:r>
      <w:r>
        <w:t>. S</w:t>
      </w:r>
      <w:r w:rsidR="00C51C46" w:rsidRPr="00860C12">
        <w:t>r</w:t>
      </w:r>
      <w:r w:rsidR="004F44D5" w:rsidRPr="00860C12">
        <w:t>edstva prog</w:t>
      </w:r>
      <w:r w:rsidR="00774297" w:rsidRPr="00860C12">
        <w:t>ramskog financiranja izvršena su u manjem iznosu od planiranog jer nisu isplaćena sva sredstva od strane Ministarstva znanosti i obrazovanja.</w:t>
      </w:r>
      <w:r>
        <w:t xml:space="preserve"> Rashode ove aktivnosti obuhvaćaju Materijalne rashode i Rashode za nabavu proizvedene dugotrajne imovine koji su izvršeni sukladno doznačenim sredstvima.</w:t>
      </w:r>
    </w:p>
    <w:p w14:paraId="1E227959" w14:textId="77777777" w:rsidR="00190056" w:rsidRPr="00860C12" w:rsidRDefault="00190056" w:rsidP="00A70E85">
      <w:pPr>
        <w:spacing w:line="360" w:lineRule="auto"/>
        <w:jc w:val="both"/>
      </w:pPr>
    </w:p>
    <w:p w14:paraId="5C9F8843" w14:textId="41C7F9AA" w:rsidR="00711BFB" w:rsidRPr="00860C12" w:rsidRDefault="00711BFB" w:rsidP="00A70E8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360" w:lineRule="auto"/>
        <w:jc w:val="both"/>
        <w:rPr>
          <w:rFonts w:eastAsiaTheme="minorHAnsi"/>
          <w:b/>
          <w:lang w:eastAsia="en-US"/>
        </w:rPr>
      </w:pPr>
      <w:r w:rsidRPr="00860C12">
        <w:rPr>
          <w:rFonts w:eastAsiaTheme="minorHAnsi"/>
          <w:b/>
          <w:lang w:eastAsia="en-US"/>
        </w:rPr>
        <w:t xml:space="preserve">A621183 Stipendije i školarine za doktorski studij </w:t>
      </w:r>
    </w:p>
    <w:p w14:paraId="5EA87775" w14:textId="77777777" w:rsidR="00490161" w:rsidRPr="00860C12" w:rsidRDefault="00490161" w:rsidP="00711BFB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99"/>
        <w:gridCol w:w="1524"/>
        <w:gridCol w:w="2409"/>
        <w:gridCol w:w="1169"/>
      </w:tblGrid>
      <w:tr w:rsidR="00AC2006" w:rsidRPr="00860C12" w14:paraId="7E05F094" w14:textId="77777777" w:rsidTr="00B96541">
        <w:trPr>
          <w:trHeight w:val="519"/>
          <w:jc w:val="center"/>
        </w:trPr>
        <w:tc>
          <w:tcPr>
            <w:tcW w:w="2299" w:type="dxa"/>
            <w:shd w:val="clear" w:color="auto" w:fill="BFBFBF" w:themeFill="background1" w:themeFillShade="BF"/>
            <w:vAlign w:val="center"/>
          </w:tcPr>
          <w:p w14:paraId="15A5159B" w14:textId="77777777" w:rsidR="00AC2006" w:rsidRPr="00860C12" w:rsidRDefault="00AC2006" w:rsidP="00AC2006">
            <w:pPr>
              <w:jc w:val="center"/>
              <w:rPr>
                <w:b/>
              </w:rPr>
            </w:pPr>
            <w:r w:rsidRPr="00860C12">
              <w:rPr>
                <w:b/>
              </w:rPr>
              <w:t>Aktivnost</w:t>
            </w:r>
          </w:p>
        </w:tc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55EF0D6A" w14:textId="3ED3FE2A" w:rsidR="00AC2006" w:rsidRPr="00860C12" w:rsidRDefault="00AC2006" w:rsidP="00AC2006">
            <w:pPr>
              <w:jc w:val="center"/>
              <w:rPr>
                <w:b/>
              </w:rPr>
            </w:pPr>
            <w:r w:rsidRPr="00860C12">
              <w:rPr>
                <w:b/>
              </w:rPr>
              <w:t>Izvorni plan ili rebalans 2023.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640F82B9" w14:textId="1FEBE1BC" w:rsidR="00AC2006" w:rsidRPr="00860C12" w:rsidRDefault="00AC2006" w:rsidP="00AC2006">
            <w:pPr>
              <w:jc w:val="center"/>
            </w:pPr>
            <w:r w:rsidRPr="00860C12">
              <w:rPr>
                <w:b/>
              </w:rPr>
              <w:t>Ostvarenje/izvršenje 2023.</w:t>
            </w:r>
          </w:p>
        </w:tc>
        <w:tc>
          <w:tcPr>
            <w:tcW w:w="1169" w:type="dxa"/>
            <w:shd w:val="clear" w:color="auto" w:fill="BFBFBF" w:themeFill="background1" w:themeFillShade="BF"/>
            <w:vAlign w:val="center"/>
          </w:tcPr>
          <w:p w14:paraId="00DECA5D" w14:textId="1DF84EE8" w:rsidR="00AC2006" w:rsidRPr="00860C12" w:rsidRDefault="00AC2006" w:rsidP="00AC2006">
            <w:pPr>
              <w:jc w:val="center"/>
            </w:pPr>
            <w:r w:rsidRPr="00860C12">
              <w:rPr>
                <w:b/>
              </w:rPr>
              <w:t>Indeks</w:t>
            </w:r>
          </w:p>
        </w:tc>
      </w:tr>
      <w:tr w:rsidR="00CE5444" w:rsidRPr="00860C12" w14:paraId="48E43FDB" w14:textId="77777777" w:rsidTr="00B96541">
        <w:trPr>
          <w:jc w:val="center"/>
        </w:trPr>
        <w:tc>
          <w:tcPr>
            <w:tcW w:w="2299" w:type="dxa"/>
          </w:tcPr>
          <w:p w14:paraId="44EB50B5" w14:textId="7D6C7BCD" w:rsidR="00CE5444" w:rsidRPr="00860C12" w:rsidRDefault="00CE5444" w:rsidP="00CE5444">
            <w:pPr>
              <w:jc w:val="center"/>
            </w:pPr>
            <w:r w:rsidRPr="00860C12">
              <w:t>A621183</w:t>
            </w:r>
          </w:p>
          <w:p w14:paraId="643986F1" w14:textId="77777777" w:rsidR="00CE5444" w:rsidRPr="00860C12" w:rsidRDefault="00CE5444" w:rsidP="00CE5444">
            <w:r w:rsidRPr="00860C12">
              <w:t>Stipendije i školarine za</w:t>
            </w:r>
          </w:p>
          <w:p w14:paraId="12840733" w14:textId="430581B4" w:rsidR="00CE5444" w:rsidRPr="00860C12" w:rsidRDefault="00CE5444" w:rsidP="00CE5444">
            <w:r w:rsidRPr="00860C12">
              <w:t>Doktorski studij</w:t>
            </w:r>
          </w:p>
        </w:tc>
        <w:tc>
          <w:tcPr>
            <w:tcW w:w="1524" w:type="dxa"/>
            <w:vAlign w:val="center"/>
          </w:tcPr>
          <w:p w14:paraId="6E14E207" w14:textId="2C7BCF2F" w:rsidR="00CE5444" w:rsidRPr="00860C12" w:rsidRDefault="00AC2006" w:rsidP="00CE5444">
            <w:pPr>
              <w:jc w:val="center"/>
            </w:pPr>
            <w:r w:rsidRPr="00860C12">
              <w:t>925</w:t>
            </w:r>
            <w:r w:rsidR="00A36A37" w:rsidRPr="00860C12">
              <w:t>,00</w:t>
            </w:r>
          </w:p>
        </w:tc>
        <w:tc>
          <w:tcPr>
            <w:tcW w:w="2409" w:type="dxa"/>
            <w:vAlign w:val="center"/>
          </w:tcPr>
          <w:p w14:paraId="323010B8" w14:textId="170671CE" w:rsidR="00CE5444" w:rsidRPr="00860C12" w:rsidRDefault="00AC2006" w:rsidP="00CE5444">
            <w:pPr>
              <w:jc w:val="center"/>
            </w:pPr>
            <w:r w:rsidRPr="00860C12">
              <w:t>-</w:t>
            </w:r>
          </w:p>
        </w:tc>
        <w:tc>
          <w:tcPr>
            <w:tcW w:w="1169" w:type="dxa"/>
            <w:vAlign w:val="center"/>
          </w:tcPr>
          <w:p w14:paraId="78FE2527" w14:textId="1611B1DE" w:rsidR="00CE5444" w:rsidRPr="00860C12" w:rsidRDefault="00AC2006" w:rsidP="00CE5444">
            <w:pPr>
              <w:jc w:val="center"/>
            </w:pPr>
            <w:r w:rsidRPr="00860C12">
              <w:t>-</w:t>
            </w:r>
          </w:p>
        </w:tc>
      </w:tr>
    </w:tbl>
    <w:p w14:paraId="409605FA" w14:textId="40DE6BEA" w:rsidR="00F5665F" w:rsidRPr="00860C12" w:rsidRDefault="00F5665F" w:rsidP="00A70E85">
      <w:pPr>
        <w:spacing w:line="360" w:lineRule="auto"/>
        <w:jc w:val="both"/>
        <w:rPr>
          <w:b/>
        </w:rPr>
      </w:pPr>
    </w:p>
    <w:p w14:paraId="4E9098E6" w14:textId="29B4F3F7" w:rsidR="00711BFB" w:rsidRDefault="00CE5444" w:rsidP="00A70E85">
      <w:pPr>
        <w:spacing w:line="360" w:lineRule="auto"/>
        <w:jc w:val="both"/>
      </w:pPr>
      <w:r w:rsidRPr="00860C12">
        <w:t>Za proračunsku 2023. godinu planiran</w:t>
      </w:r>
      <w:r w:rsidR="00F5665F" w:rsidRPr="00860C12">
        <w:t>a sredstva</w:t>
      </w:r>
      <w:r w:rsidRPr="00860C12">
        <w:t xml:space="preserve"> za ovu aktivnost </w:t>
      </w:r>
      <w:r w:rsidR="00F5665F" w:rsidRPr="00860C12">
        <w:t xml:space="preserve">iznose </w:t>
      </w:r>
      <w:r w:rsidRPr="00860C12">
        <w:t>925,00 eura. Navedena aktivnost rezultat je ostvarivanja prava zaposlenika temeljem kolektivnoga ugovora za troškove povezane s izradom, tiskom i opremom doktorskog rada.</w:t>
      </w:r>
      <w:r w:rsidR="00774297" w:rsidRPr="00860C12">
        <w:t xml:space="preserve"> Ministarstvo znanosti i obrazovanja nije doznačilo navedena sredstva za 2023. godinu.</w:t>
      </w:r>
    </w:p>
    <w:p w14:paraId="3AC38FFB" w14:textId="25B84623" w:rsidR="005719A9" w:rsidRDefault="005719A9" w:rsidP="00A70E85">
      <w:pPr>
        <w:spacing w:line="360" w:lineRule="auto"/>
        <w:jc w:val="both"/>
      </w:pPr>
    </w:p>
    <w:p w14:paraId="29677C4A" w14:textId="0217F8FB" w:rsidR="00D425A1" w:rsidRDefault="00D425A1" w:rsidP="00A70E85">
      <w:pPr>
        <w:spacing w:line="360" w:lineRule="auto"/>
        <w:jc w:val="both"/>
      </w:pPr>
    </w:p>
    <w:p w14:paraId="6CB75D58" w14:textId="5184E099" w:rsidR="00D425A1" w:rsidRDefault="00D425A1" w:rsidP="00A70E85">
      <w:pPr>
        <w:spacing w:line="360" w:lineRule="auto"/>
        <w:jc w:val="both"/>
      </w:pPr>
    </w:p>
    <w:p w14:paraId="71A92013" w14:textId="00407896" w:rsidR="00D425A1" w:rsidRDefault="00D425A1" w:rsidP="00A70E85">
      <w:pPr>
        <w:spacing w:line="360" w:lineRule="auto"/>
        <w:jc w:val="both"/>
      </w:pPr>
    </w:p>
    <w:p w14:paraId="445EB363" w14:textId="77777777" w:rsidR="00D425A1" w:rsidRPr="00860C12" w:rsidRDefault="00D425A1" w:rsidP="00A70E85">
      <w:pPr>
        <w:spacing w:line="360" w:lineRule="auto"/>
        <w:jc w:val="both"/>
      </w:pPr>
    </w:p>
    <w:p w14:paraId="4CEE90D9" w14:textId="77777777" w:rsidR="00CE5444" w:rsidRPr="00860C12" w:rsidRDefault="00CE5444" w:rsidP="00A70E85">
      <w:pPr>
        <w:spacing w:line="360" w:lineRule="auto"/>
        <w:jc w:val="both"/>
      </w:pPr>
    </w:p>
    <w:p w14:paraId="6878929D" w14:textId="7AEA1108" w:rsidR="00C51C46" w:rsidRPr="00860C12" w:rsidRDefault="00C51C46" w:rsidP="00A70E8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360" w:lineRule="auto"/>
        <w:jc w:val="both"/>
        <w:rPr>
          <w:rFonts w:eastAsiaTheme="minorHAnsi"/>
          <w:b/>
          <w:lang w:eastAsia="en-US"/>
        </w:rPr>
      </w:pPr>
      <w:r w:rsidRPr="00860C12">
        <w:rPr>
          <w:rFonts w:eastAsiaTheme="minorHAnsi"/>
          <w:b/>
          <w:lang w:eastAsia="en-US"/>
        </w:rPr>
        <w:lastRenderedPageBreak/>
        <w:t>A67909</w:t>
      </w:r>
      <w:r w:rsidR="00693BD9" w:rsidRPr="00860C12">
        <w:rPr>
          <w:rFonts w:eastAsiaTheme="minorHAnsi"/>
          <w:b/>
          <w:lang w:eastAsia="en-US"/>
        </w:rPr>
        <w:t>0</w:t>
      </w:r>
      <w:r w:rsidRPr="00860C12">
        <w:rPr>
          <w:rFonts w:eastAsiaTheme="minorHAnsi"/>
          <w:b/>
          <w:lang w:eastAsia="en-US"/>
        </w:rPr>
        <w:t xml:space="preserve"> Redovna djelatnost Sveučilišta u </w:t>
      </w:r>
      <w:r w:rsidR="00693BD9" w:rsidRPr="00860C12">
        <w:rPr>
          <w:rFonts w:eastAsiaTheme="minorHAnsi"/>
          <w:b/>
          <w:lang w:eastAsia="en-US"/>
        </w:rPr>
        <w:t>Osijeku</w:t>
      </w:r>
      <w:r w:rsidRPr="00860C12">
        <w:rPr>
          <w:rFonts w:eastAsiaTheme="minorHAnsi"/>
          <w:b/>
          <w:lang w:eastAsia="en-US"/>
        </w:rPr>
        <w:t xml:space="preserve"> (iz evidencijskih prihoda)</w:t>
      </w:r>
    </w:p>
    <w:p w14:paraId="19ECE0B7" w14:textId="68F185CD" w:rsidR="004F44D5" w:rsidRPr="00860C12" w:rsidRDefault="004F44D5" w:rsidP="004F44D5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57"/>
        <w:gridCol w:w="1559"/>
        <w:gridCol w:w="2516"/>
        <w:gridCol w:w="1169"/>
      </w:tblGrid>
      <w:tr w:rsidR="00AC2006" w:rsidRPr="00860C12" w14:paraId="452D97B5" w14:textId="77777777" w:rsidTr="00B96541">
        <w:trPr>
          <w:trHeight w:val="523"/>
          <w:jc w:val="center"/>
        </w:trPr>
        <w:tc>
          <w:tcPr>
            <w:tcW w:w="2157" w:type="dxa"/>
            <w:shd w:val="clear" w:color="auto" w:fill="BFBFBF" w:themeFill="background1" w:themeFillShade="BF"/>
            <w:vAlign w:val="center"/>
          </w:tcPr>
          <w:p w14:paraId="6C6917C6" w14:textId="77777777" w:rsidR="00AC2006" w:rsidRPr="00860C12" w:rsidRDefault="00AC2006" w:rsidP="00AC2006">
            <w:pPr>
              <w:jc w:val="center"/>
              <w:rPr>
                <w:b/>
              </w:rPr>
            </w:pPr>
            <w:r w:rsidRPr="00860C12">
              <w:rPr>
                <w:b/>
              </w:rPr>
              <w:t>Aktivnost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78AEF4C" w14:textId="2F6584F4" w:rsidR="00AC2006" w:rsidRPr="00860C12" w:rsidRDefault="00AC2006" w:rsidP="00AC2006">
            <w:pPr>
              <w:jc w:val="center"/>
              <w:rPr>
                <w:b/>
              </w:rPr>
            </w:pPr>
            <w:r w:rsidRPr="00860C12">
              <w:rPr>
                <w:b/>
              </w:rPr>
              <w:t>Izvorni plan ili rebalans 2023.</w:t>
            </w:r>
          </w:p>
        </w:tc>
        <w:tc>
          <w:tcPr>
            <w:tcW w:w="2516" w:type="dxa"/>
            <w:shd w:val="clear" w:color="auto" w:fill="BFBFBF" w:themeFill="background1" w:themeFillShade="BF"/>
            <w:vAlign w:val="center"/>
          </w:tcPr>
          <w:p w14:paraId="78B15DE8" w14:textId="74CF7F2F" w:rsidR="00AC2006" w:rsidRPr="00860C12" w:rsidRDefault="00AC2006" w:rsidP="00AC2006">
            <w:pPr>
              <w:jc w:val="center"/>
            </w:pPr>
            <w:r w:rsidRPr="00860C12">
              <w:rPr>
                <w:b/>
              </w:rPr>
              <w:t>Ostvarenje/izvršenje 2023.</w:t>
            </w:r>
          </w:p>
        </w:tc>
        <w:tc>
          <w:tcPr>
            <w:tcW w:w="1169" w:type="dxa"/>
            <w:shd w:val="clear" w:color="auto" w:fill="BFBFBF" w:themeFill="background1" w:themeFillShade="BF"/>
            <w:vAlign w:val="center"/>
          </w:tcPr>
          <w:p w14:paraId="2A34C31A" w14:textId="11760526" w:rsidR="00AC2006" w:rsidRPr="00860C12" w:rsidRDefault="00AC2006" w:rsidP="00AC2006">
            <w:pPr>
              <w:jc w:val="center"/>
            </w:pPr>
            <w:r w:rsidRPr="00860C12">
              <w:rPr>
                <w:b/>
              </w:rPr>
              <w:t>Indeks</w:t>
            </w:r>
          </w:p>
        </w:tc>
      </w:tr>
      <w:tr w:rsidR="00DF42F7" w:rsidRPr="00860C12" w14:paraId="71193791" w14:textId="77777777" w:rsidTr="00B96541">
        <w:trPr>
          <w:jc w:val="center"/>
        </w:trPr>
        <w:tc>
          <w:tcPr>
            <w:tcW w:w="2157" w:type="dxa"/>
          </w:tcPr>
          <w:p w14:paraId="0121DDBD" w14:textId="09B6DEDA" w:rsidR="00DF42F7" w:rsidRPr="00860C12" w:rsidRDefault="00DF42F7" w:rsidP="00DF42F7">
            <w:r w:rsidRPr="00860C12">
              <w:t>A679090</w:t>
            </w:r>
          </w:p>
          <w:p w14:paraId="2044B2C5" w14:textId="77777777" w:rsidR="00DF42F7" w:rsidRPr="00860C12" w:rsidRDefault="00DF42F7" w:rsidP="00DF42F7">
            <w:r w:rsidRPr="00860C12">
              <w:t>Redovna djelatnost Sveučilišta u Osijeku</w:t>
            </w:r>
          </w:p>
          <w:p w14:paraId="0B444D1E" w14:textId="55F74FEB" w:rsidR="00DF42F7" w:rsidRPr="00860C12" w:rsidRDefault="00DF42F7" w:rsidP="00DF42F7">
            <w:r w:rsidRPr="00860C12">
              <w:t>(iz evidencijskih prihoda)</w:t>
            </w:r>
          </w:p>
        </w:tc>
        <w:tc>
          <w:tcPr>
            <w:tcW w:w="1559" w:type="dxa"/>
            <w:vAlign w:val="center"/>
          </w:tcPr>
          <w:p w14:paraId="359366CF" w14:textId="2329C4C3" w:rsidR="00DF42F7" w:rsidRPr="00860C12" w:rsidRDefault="00AC2006" w:rsidP="00DF42F7">
            <w:pPr>
              <w:jc w:val="center"/>
            </w:pPr>
            <w:r w:rsidRPr="00860C12">
              <w:t>1.167.041,00</w:t>
            </w:r>
          </w:p>
        </w:tc>
        <w:tc>
          <w:tcPr>
            <w:tcW w:w="2516" w:type="dxa"/>
            <w:vAlign w:val="center"/>
          </w:tcPr>
          <w:p w14:paraId="79105696" w14:textId="63AE09F8" w:rsidR="00DF42F7" w:rsidRPr="00860C12" w:rsidRDefault="00AC2006" w:rsidP="00DF42F7">
            <w:pPr>
              <w:jc w:val="center"/>
            </w:pPr>
            <w:r w:rsidRPr="00860C12">
              <w:t>1.266.676,56</w:t>
            </w:r>
          </w:p>
        </w:tc>
        <w:tc>
          <w:tcPr>
            <w:tcW w:w="1169" w:type="dxa"/>
            <w:vAlign w:val="center"/>
          </w:tcPr>
          <w:p w14:paraId="0397C97B" w14:textId="0F33BA08" w:rsidR="00DF42F7" w:rsidRPr="00860C12" w:rsidRDefault="00AC2006" w:rsidP="00DF42F7">
            <w:pPr>
              <w:jc w:val="center"/>
            </w:pPr>
            <w:r w:rsidRPr="00860C12">
              <w:t>108,54</w:t>
            </w:r>
          </w:p>
        </w:tc>
      </w:tr>
    </w:tbl>
    <w:p w14:paraId="3132FE8E" w14:textId="0E33DA1A" w:rsidR="001D1697" w:rsidRPr="00860C12" w:rsidRDefault="001D1697" w:rsidP="00A70E85">
      <w:pPr>
        <w:spacing w:line="360" w:lineRule="auto"/>
        <w:jc w:val="both"/>
        <w:rPr>
          <w:b/>
        </w:rPr>
      </w:pPr>
    </w:p>
    <w:p w14:paraId="02CA6884" w14:textId="77777777" w:rsidR="00774297" w:rsidRPr="00860C12" w:rsidRDefault="00774297" w:rsidP="00A70E85">
      <w:pPr>
        <w:spacing w:line="360" w:lineRule="auto"/>
        <w:jc w:val="both"/>
      </w:pPr>
      <w:r w:rsidRPr="00860C12">
        <w:t>Ova aktivnost sastoji se od rashoda za sljedeće izvore:</w:t>
      </w:r>
    </w:p>
    <w:p w14:paraId="107C92E4" w14:textId="75972C96" w:rsidR="00D27F46" w:rsidRPr="00860C12" w:rsidRDefault="00774297" w:rsidP="00F9230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302">
        <w:rPr>
          <w:rFonts w:ascii="Times New Roman" w:hAnsi="Times New Roman" w:cs="Times New Roman"/>
          <w:b/>
          <w:sz w:val="24"/>
          <w:szCs w:val="24"/>
        </w:rPr>
        <w:t>31</w:t>
      </w:r>
      <w:r w:rsidRPr="00860C12">
        <w:rPr>
          <w:rFonts w:ascii="Times New Roman" w:hAnsi="Times New Roman" w:cs="Times New Roman"/>
          <w:sz w:val="24"/>
          <w:szCs w:val="24"/>
        </w:rPr>
        <w:t xml:space="preserve"> </w:t>
      </w:r>
      <w:r w:rsidRPr="005719A9">
        <w:rPr>
          <w:rFonts w:ascii="Times New Roman" w:hAnsi="Times New Roman" w:cs="Times New Roman"/>
          <w:b/>
          <w:sz w:val="24"/>
          <w:szCs w:val="24"/>
        </w:rPr>
        <w:t>Vlastiti prihodi</w:t>
      </w:r>
      <w:r w:rsidRPr="00860C12">
        <w:rPr>
          <w:rFonts w:ascii="Times New Roman" w:hAnsi="Times New Roman" w:cs="Times New Roman"/>
          <w:sz w:val="24"/>
          <w:szCs w:val="24"/>
        </w:rPr>
        <w:t xml:space="preserve"> – rashodi iz izvora 31</w:t>
      </w:r>
      <w:r w:rsidR="00D27F46" w:rsidRPr="00860C12">
        <w:rPr>
          <w:rFonts w:ascii="Times New Roman" w:hAnsi="Times New Roman" w:cs="Times New Roman"/>
          <w:sz w:val="24"/>
          <w:szCs w:val="24"/>
        </w:rPr>
        <w:t xml:space="preserve"> </w:t>
      </w:r>
      <w:r w:rsidR="002C6D61" w:rsidRPr="00860C12">
        <w:rPr>
          <w:rFonts w:ascii="Times New Roman" w:hAnsi="Times New Roman" w:cs="Times New Roman"/>
          <w:sz w:val="24"/>
          <w:szCs w:val="24"/>
        </w:rPr>
        <w:t xml:space="preserve">su </w:t>
      </w:r>
      <w:r w:rsidR="00D27F46" w:rsidRPr="00860C12">
        <w:rPr>
          <w:rFonts w:ascii="Times New Roman" w:hAnsi="Times New Roman" w:cs="Times New Roman"/>
          <w:sz w:val="24"/>
          <w:szCs w:val="24"/>
        </w:rPr>
        <w:t>realizirani u visini od 96,10%</w:t>
      </w:r>
      <w:r w:rsidRPr="00860C12">
        <w:rPr>
          <w:rFonts w:ascii="Times New Roman" w:hAnsi="Times New Roman" w:cs="Times New Roman"/>
          <w:sz w:val="24"/>
          <w:szCs w:val="24"/>
        </w:rPr>
        <w:t xml:space="preserve"> </w:t>
      </w:r>
      <w:r w:rsidR="00D27F46" w:rsidRPr="00860C12">
        <w:rPr>
          <w:rFonts w:ascii="Times New Roman" w:hAnsi="Times New Roman" w:cs="Times New Roman"/>
          <w:sz w:val="24"/>
          <w:szCs w:val="24"/>
        </w:rPr>
        <w:t>od planiranog</w:t>
      </w:r>
      <w:r w:rsidR="00780559">
        <w:rPr>
          <w:rFonts w:ascii="Times New Roman" w:hAnsi="Times New Roman" w:cs="Times New Roman"/>
          <w:sz w:val="24"/>
          <w:szCs w:val="24"/>
        </w:rPr>
        <w:t>.</w:t>
      </w:r>
      <w:r w:rsidR="00D27F46" w:rsidRPr="00860C12">
        <w:rPr>
          <w:rFonts w:ascii="Times New Roman" w:hAnsi="Times New Roman" w:cs="Times New Roman"/>
          <w:sz w:val="24"/>
          <w:szCs w:val="24"/>
        </w:rPr>
        <w:t xml:space="preserve"> </w:t>
      </w:r>
      <w:r w:rsidR="00780559">
        <w:rPr>
          <w:rFonts w:ascii="Times New Roman" w:hAnsi="Times New Roman" w:cs="Times New Roman"/>
          <w:sz w:val="24"/>
          <w:szCs w:val="24"/>
        </w:rPr>
        <w:t>O</w:t>
      </w:r>
      <w:r w:rsidR="00D27F46" w:rsidRPr="00860C12">
        <w:rPr>
          <w:rFonts w:ascii="Times New Roman" w:hAnsi="Times New Roman" w:cs="Times New Roman"/>
          <w:sz w:val="24"/>
          <w:szCs w:val="24"/>
        </w:rPr>
        <w:t>vi rashodi ovise o dinamici naplate za stručnu djelatnost Fakulteta.</w:t>
      </w:r>
    </w:p>
    <w:p w14:paraId="2F1975E6" w14:textId="0DB465F1" w:rsidR="00D27F46" w:rsidRPr="00860C12" w:rsidRDefault="00D27F46" w:rsidP="00F9230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302">
        <w:rPr>
          <w:rFonts w:ascii="Times New Roman" w:hAnsi="Times New Roman" w:cs="Times New Roman"/>
          <w:b/>
          <w:sz w:val="24"/>
          <w:szCs w:val="24"/>
        </w:rPr>
        <w:t>43</w:t>
      </w:r>
      <w:r w:rsidRPr="00860C12">
        <w:rPr>
          <w:rFonts w:ascii="Times New Roman" w:hAnsi="Times New Roman" w:cs="Times New Roman"/>
          <w:sz w:val="24"/>
          <w:szCs w:val="24"/>
        </w:rPr>
        <w:t xml:space="preserve"> </w:t>
      </w:r>
      <w:r w:rsidRPr="005719A9">
        <w:rPr>
          <w:rFonts w:ascii="Times New Roman" w:hAnsi="Times New Roman" w:cs="Times New Roman"/>
          <w:b/>
          <w:sz w:val="24"/>
          <w:szCs w:val="24"/>
        </w:rPr>
        <w:t>Ostali Prihodi za posebne namjene</w:t>
      </w:r>
      <w:r w:rsidRPr="00860C12">
        <w:rPr>
          <w:rFonts w:ascii="Times New Roman" w:hAnsi="Times New Roman" w:cs="Times New Roman"/>
          <w:sz w:val="24"/>
          <w:szCs w:val="24"/>
        </w:rPr>
        <w:t xml:space="preserve"> – rashodi iz izvora 43 su realizirani u visini </w:t>
      </w:r>
      <w:r w:rsidR="00F945B2" w:rsidRPr="00860C12">
        <w:rPr>
          <w:rFonts w:ascii="Times New Roman" w:hAnsi="Times New Roman" w:cs="Times New Roman"/>
          <w:sz w:val="24"/>
          <w:szCs w:val="24"/>
        </w:rPr>
        <w:t>1</w:t>
      </w:r>
      <w:r w:rsidRPr="00860C12">
        <w:rPr>
          <w:rFonts w:ascii="Times New Roman" w:hAnsi="Times New Roman" w:cs="Times New Roman"/>
          <w:sz w:val="24"/>
          <w:szCs w:val="24"/>
        </w:rPr>
        <w:t>11,01% od planiranog.</w:t>
      </w:r>
      <w:r w:rsidR="00F945B2" w:rsidRPr="00860C12">
        <w:rPr>
          <w:rFonts w:ascii="Times New Roman" w:hAnsi="Times New Roman" w:cs="Times New Roman"/>
          <w:sz w:val="24"/>
          <w:szCs w:val="24"/>
        </w:rPr>
        <w:t xml:space="preserve"> Rashodi su izvršeni u većem iznosu od planiranog zbog neisplaćenih programskih ugovora za nastavu i znanost.</w:t>
      </w:r>
    </w:p>
    <w:p w14:paraId="5352C132" w14:textId="7F4BFAAE" w:rsidR="00860C12" w:rsidRPr="00241D8A" w:rsidRDefault="00D27F46" w:rsidP="00F9230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302">
        <w:rPr>
          <w:rFonts w:ascii="Times New Roman" w:hAnsi="Times New Roman" w:cs="Times New Roman"/>
          <w:b/>
          <w:sz w:val="24"/>
          <w:szCs w:val="24"/>
        </w:rPr>
        <w:t>52</w:t>
      </w:r>
      <w:r w:rsidRPr="00860C12">
        <w:rPr>
          <w:rFonts w:ascii="Times New Roman" w:hAnsi="Times New Roman" w:cs="Times New Roman"/>
          <w:sz w:val="24"/>
          <w:szCs w:val="24"/>
        </w:rPr>
        <w:t xml:space="preserve">  - </w:t>
      </w:r>
      <w:r w:rsidRPr="005719A9">
        <w:rPr>
          <w:rFonts w:ascii="Times New Roman" w:hAnsi="Times New Roman" w:cs="Times New Roman"/>
          <w:b/>
          <w:sz w:val="24"/>
          <w:szCs w:val="24"/>
        </w:rPr>
        <w:t>Ostale pomoći</w:t>
      </w:r>
      <w:r w:rsidR="00F945B2" w:rsidRPr="00860C12">
        <w:rPr>
          <w:rFonts w:ascii="Times New Roman" w:hAnsi="Times New Roman" w:cs="Times New Roman"/>
          <w:sz w:val="24"/>
          <w:szCs w:val="24"/>
        </w:rPr>
        <w:t xml:space="preserve"> – </w:t>
      </w:r>
      <w:r w:rsidR="00F945B2" w:rsidRPr="00241D8A">
        <w:rPr>
          <w:rFonts w:ascii="Times New Roman" w:hAnsi="Times New Roman" w:cs="Times New Roman"/>
          <w:sz w:val="24"/>
          <w:szCs w:val="24"/>
        </w:rPr>
        <w:t xml:space="preserve">rashodi izvora 52 </w:t>
      </w:r>
      <w:r w:rsidR="00860C12" w:rsidRPr="00241D8A">
        <w:rPr>
          <w:rFonts w:ascii="Times New Roman" w:hAnsi="Times New Roman" w:cs="Times New Roman"/>
          <w:sz w:val="24"/>
          <w:szCs w:val="24"/>
        </w:rPr>
        <w:t>izvršeni su sukladno doznačenim sredstvima prijenosa sredstava za podmirenje rashoda od strane Ministarstva znanosti i obrazovanja te Hrvatske zaklade za znanost. Rashodi izvora 52 čine rashodi</w:t>
      </w:r>
      <w:r w:rsidR="00F945B2" w:rsidRPr="00241D8A">
        <w:rPr>
          <w:rFonts w:ascii="Times New Roman" w:hAnsi="Times New Roman" w:cs="Times New Roman"/>
          <w:sz w:val="24"/>
          <w:szCs w:val="24"/>
        </w:rPr>
        <w:t xml:space="preserve"> za</w:t>
      </w:r>
      <w:r w:rsidR="00860C12" w:rsidRPr="00241D8A">
        <w:rPr>
          <w:rFonts w:ascii="Times New Roman" w:hAnsi="Times New Roman" w:cs="Times New Roman"/>
          <w:sz w:val="24"/>
          <w:szCs w:val="24"/>
        </w:rPr>
        <w:t>:</w:t>
      </w:r>
    </w:p>
    <w:p w14:paraId="2EA6DA60" w14:textId="62CF521D" w:rsidR="00860C12" w:rsidRPr="00241D8A" w:rsidRDefault="00860C12" w:rsidP="00860C1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8A">
        <w:rPr>
          <w:rFonts w:ascii="Times New Roman" w:hAnsi="Times New Roman" w:cs="Times New Roman"/>
          <w:sz w:val="24"/>
          <w:szCs w:val="24"/>
        </w:rPr>
        <w:t>-</w:t>
      </w:r>
      <w:r w:rsidR="00F945B2" w:rsidRPr="00241D8A">
        <w:rPr>
          <w:rFonts w:ascii="Times New Roman" w:hAnsi="Times New Roman" w:cs="Times New Roman"/>
          <w:sz w:val="24"/>
          <w:szCs w:val="24"/>
        </w:rPr>
        <w:t xml:space="preserve"> </w:t>
      </w:r>
      <w:r w:rsidRPr="00241D8A">
        <w:rPr>
          <w:rFonts w:ascii="Times New Roman" w:hAnsi="Times New Roman" w:cs="Times New Roman"/>
          <w:sz w:val="24"/>
          <w:szCs w:val="24"/>
        </w:rPr>
        <w:t>bilateralne</w:t>
      </w:r>
      <w:r w:rsidR="00F945B2" w:rsidRPr="00241D8A">
        <w:rPr>
          <w:rFonts w:ascii="Times New Roman" w:hAnsi="Times New Roman" w:cs="Times New Roman"/>
          <w:sz w:val="24"/>
          <w:szCs w:val="24"/>
        </w:rPr>
        <w:t xml:space="preserve"> projekt</w:t>
      </w:r>
      <w:r w:rsidRPr="00241D8A">
        <w:rPr>
          <w:rFonts w:ascii="Times New Roman" w:hAnsi="Times New Roman" w:cs="Times New Roman"/>
          <w:sz w:val="24"/>
          <w:szCs w:val="24"/>
        </w:rPr>
        <w:t>e</w:t>
      </w:r>
      <w:r w:rsidR="00F945B2" w:rsidRPr="00241D8A">
        <w:rPr>
          <w:rFonts w:ascii="Times New Roman" w:hAnsi="Times New Roman" w:cs="Times New Roman"/>
          <w:sz w:val="24"/>
          <w:szCs w:val="24"/>
        </w:rPr>
        <w:t xml:space="preserve"> Ministarstva znanosti i obrazovanja „M</w:t>
      </w:r>
      <w:r w:rsidR="00F945B2" w:rsidRPr="00241D8A">
        <w:rPr>
          <w:rFonts w:ascii="Times New Roman" w:hAnsi="Times New Roman" w:cs="Times New Roman"/>
          <w:noProof/>
          <w:sz w:val="24"/>
          <w:szCs w:val="24"/>
        </w:rPr>
        <w:t>orfološke karakteristike, razvojni potencijali i regulatorni elementi slovenskih i hrvatskih ruralnih naselja u panonskom prostoru i Digitalna transformacija građevinskih projekata potaknuta sinergijom optimizacijskih metoda i BIM koncepta u svrhu učinkovitije i sigurnije gradnje“</w:t>
      </w:r>
      <w:r w:rsidRPr="00241D8A">
        <w:rPr>
          <w:rFonts w:ascii="Times New Roman" w:hAnsi="Times New Roman" w:cs="Times New Roman"/>
          <w:noProof/>
          <w:sz w:val="24"/>
          <w:szCs w:val="24"/>
        </w:rPr>
        <w:t xml:space="preserve"> i „</w:t>
      </w:r>
      <w:r w:rsidRPr="00241D8A">
        <w:rPr>
          <w:rFonts w:ascii="Times New Roman" w:hAnsi="Times New Roman" w:cs="Times New Roman"/>
          <w:iCs/>
          <w:sz w:val="24"/>
          <w:szCs w:val="24"/>
        </w:rPr>
        <w:t>Morfološke karakteristike, razvojni potencijali i regulatorni elementi slovenskih i hrvatskih ruralnih naselja u panonskom prostoru</w:t>
      </w:r>
      <w:r w:rsidRPr="00241D8A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2221BC3A" w14:textId="5B647D5D" w:rsidR="00860C12" w:rsidRPr="00241D8A" w:rsidRDefault="00860C12" w:rsidP="00860C1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8A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41D8A">
        <w:rPr>
          <w:rFonts w:ascii="Times New Roman" w:hAnsi="Times New Roman" w:cs="Times New Roman"/>
          <w:sz w:val="24"/>
          <w:szCs w:val="24"/>
        </w:rPr>
        <w:t>projekate</w:t>
      </w:r>
      <w:r w:rsidR="00F945B2" w:rsidRPr="00241D8A">
        <w:rPr>
          <w:rFonts w:ascii="Times New Roman" w:hAnsi="Times New Roman" w:cs="Times New Roman"/>
          <w:sz w:val="24"/>
          <w:szCs w:val="24"/>
        </w:rPr>
        <w:t xml:space="preserve"> Hrvatske Z</w:t>
      </w:r>
      <w:r w:rsidRPr="00241D8A">
        <w:rPr>
          <w:rFonts w:ascii="Times New Roman" w:hAnsi="Times New Roman" w:cs="Times New Roman"/>
          <w:sz w:val="24"/>
          <w:szCs w:val="24"/>
        </w:rPr>
        <w:t>aklade za znanost: UIP-2020-02-7363, Nabijena zemlja za modeliranje i normizaciju u potresno aktivnim područjima, UIP-2019-04-8195, Cementom stabilizirani nosivi slojevi s otpadnom gumom za održive kolnike i UIP-2017-05-7041, Otpornost stupova nadvožnjaka na djelovanje eksplozije</w:t>
      </w:r>
    </w:p>
    <w:p w14:paraId="73F0B2F0" w14:textId="2421EA59" w:rsidR="00860C12" w:rsidRPr="00241D8A" w:rsidRDefault="00860C12" w:rsidP="00860C1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8A">
        <w:rPr>
          <w:rFonts w:ascii="Times New Roman" w:hAnsi="Times New Roman" w:cs="Times New Roman"/>
          <w:sz w:val="24"/>
          <w:szCs w:val="24"/>
        </w:rPr>
        <w:t>- rashoda za financiranje znanstvenog časopi</w:t>
      </w:r>
      <w:r w:rsidR="005719A9" w:rsidRPr="00241D8A">
        <w:rPr>
          <w:rFonts w:ascii="Times New Roman" w:hAnsi="Times New Roman" w:cs="Times New Roman"/>
          <w:sz w:val="24"/>
          <w:szCs w:val="24"/>
        </w:rPr>
        <w:t>sa Advances in Civil and Arc</w:t>
      </w:r>
      <w:r w:rsidR="007774CD" w:rsidRPr="00241D8A">
        <w:rPr>
          <w:rFonts w:ascii="Times New Roman" w:hAnsi="Times New Roman" w:cs="Times New Roman"/>
          <w:sz w:val="24"/>
          <w:szCs w:val="24"/>
        </w:rPr>
        <w:t>hitectural Engineering, rashoda za članarine i rashoda za popularizaciju znanosti.</w:t>
      </w:r>
    </w:p>
    <w:p w14:paraId="1591442F" w14:textId="6A67AB68" w:rsidR="00860C12" w:rsidRPr="00860C12" w:rsidRDefault="00F945B2" w:rsidP="00F92302">
      <w:pPr>
        <w:pStyle w:val="ListParagraph"/>
        <w:spacing w:before="240" w:line="360" w:lineRule="auto"/>
        <w:jc w:val="both"/>
      </w:pPr>
      <w:r w:rsidRPr="00F92302">
        <w:rPr>
          <w:rFonts w:ascii="Times New Roman" w:hAnsi="Times New Roman" w:cs="Times New Roman"/>
          <w:b/>
          <w:sz w:val="24"/>
          <w:szCs w:val="24"/>
        </w:rPr>
        <w:t>61</w:t>
      </w:r>
      <w:r w:rsidRPr="00860C12">
        <w:rPr>
          <w:rFonts w:ascii="Times New Roman" w:hAnsi="Times New Roman" w:cs="Times New Roman"/>
          <w:sz w:val="24"/>
          <w:szCs w:val="24"/>
        </w:rPr>
        <w:t xml:space="preserve"> – Donacije rashodi izv</w:t>
      </w:r>
      <w:r w:rsidR="00860C12">
        <w:rPr>
          <w:rFonts w:ascii="Times New Roman" w:hAnsi="Times New Roman" w:cs="Times New Roman"/>
          <w:sz w:val="24"/>
          <w:szCs w:val="24"/>
        </w:rPr>
        <w:t>o</w:t>
      </w:r>
      <w:r w:rsidR="00F92302">
        <w:rPr>
          <w:rFonts w:ascii="Times New Roman" w:hAnsi="Times New Roman" w:cs="Times New Roman"/>
          <w:sz w:val="24"/>
          <w:szCs w:val="24"/>
        </w:rPr>
        <w:t>ra 61odnose se na namjenske donacije fizičkih osoba (knjiga), te trgovačkih društava i ostalih subjekata izvan općeg proračuna.</w:t>
      </w:r>
    </w:p>
    <w:p w14:paraId="6CA61F7D" w14:textId="77777777" w:rsidR="00190056" w:rsidRPr="00860C12" w:rsidRDefault="00190056" w:rsidP="00A70E85">
      <w:pPr>
        <w:spacing w:line="360" w:lineRule="auto"/>
        <w:rPr>
          <w:b/>
        </w:rPr>
      </w:pPr>
    </w:p>
    <w:p w14:paraId="4CEEEE42" w14:textId="4F23DBD7" w:rsidR="00F7638D" w:rsidRPr="00860C12" w:rsidRDefault="00F7638D" w:rsidP="00A70E85">
      <w:pPr>
        <w:shd w:val="clear" w:color="auto" w:fill="BFBFBF" w:themeFill="background1" w:themeFillShade="BF"/>
        <w:spacing w:line="360" w:lineRule="auto"/>
        <w:rPr>
          <w:b/>
        </w:rPr>
      </w:pPr>
      <w:r w:rsidRPr="00860C12">
        <w:rPr>
          <w:b/>
        </w:rPr>
        <w:lastRenderedPageBreak/>
        <w:t>OBRAZLOŽENJA I AKTIVNOSTI ZA SUFINANCIRANE PROJEKTE</w:t>
      </w:r>
      <w:r w:rsidR="007953B0" w:rsidRPr="00860C12">
        <w:rPr>
          <w:b/>
        </w:rPr>
        <w:t xml:space="preserve"> IZ OPERATIVNIH PROGRAMA I EVIDENCIJSKIH PRIHODA</w:t>
      </w:r>
    </w:p>
    <w:p w14:paraId="65E11638" w14:textId="77777777" w:rsidR="007953B0" w:rsidRPr="00860C12" w:rsidRDefault="007953B0" w:rsidP="00A70E85">
      <w:pPr>
        <w:spacing w:line="360" w:lineRule="auto"/>
        <w:rPr>
          <w:b/>
        </w:rPr>
      </w:pPr>
    </w:p>
    <w:p w14:paraId="05373146" w14:textId="20658939" w:rsidR="00F7638D" w:rsidRPr="00860C12" w:rsidRDefault="00F7638D" w:rsidP="00A70E85">
      <w:pPr>
        <w:spacing w:line="360" w:lineRule="auto"/>
        <w:jc w:val="both"/>
      </w:pPr>
      <w:r w:rsidRPr="00860C12">
        <w:t>Sveučilište Josipa Jurja Strossmayera u Osijeku, Građevinski i arhitektonski fakultet Osijek sustavno provodi  nacionalne i međunarodne projekte. U nastavku su opisani projekti koji</w:t>
      </w:r>
      <w:r w:rsidR="00F92302">
        <w:t xml:space="preserve"> se izvršeni </w:t>
      </w:r>
      <w:r w:rsidRPr="00860C12">
        <w:t>u 2023. godini, a sufinanciraju se sredstvima iz EU fondova i inozemstva.</w:t>
      </w:r>
    </w:p>
    <w:p w14:paraId="10972AA9" w14:textId="77777777" w:rsidR="00D0257F" w:rsidRPr="00860C12" w:rsidRDefault="00D0257F" w:rsidP="00A70E85">
      <w:pPr>
        <w:spacing w:line="360" w:lineRule="auto"/>
        <w:jc w:val="both"/>
      </w:pPr>
    </w:p>
    <w:p w14:paraId="2394145C" w14:textId="61E8DC18" w:rsidR="008B45D8" w:rsidRPr="00860C12" w:rsidRDefault="008B45D8" w:rsidP="00A70E8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360" w:lineRule="auto"/>
        <w:jc w:val="both"/>
        <w:rPr>
          <w:b/>
        </w:rPr>
      </w:pPr>
      <w:r w:rsidRPr="00860C12">
        <w:rPr>
          <w:b/>
        </w:rPr>
        <w:t>K679106.003 Razvoj, unapređenje i provedba stručne prakse u visokom obrazovanju</w:t>
      </w:r>
    </w:p>
    <w:p w14:paraId="6DCFAB03" w14:textId="34378E18" w:rsidR="00D0257F" w:rsidRPr="00D0257F" w:rsidRDefault="009E1A2D" w:rsidP="00A70E85">
      <w:pPr>
        <w:spacing w:before="240" w:line="360" w:lineRule="auto"/>
        <w:jc w:val="both"/>
      </w:pPr>
      <w:r w:rsidRPr="00860C12">
        <w:t>Glavni cilj projekta jest omogućavanje stjecanja radnog iskustva studentima unaprjeđenjem kvalitete stručne prakse kao obveznog dijela studijskog programa i jačanje kompetencija osoblja visokih učilišta  za razvoj modela učenja kroz rad.</w:t>
      </w:r>
      <w:r w:rsidR="00D425A1">
        <w:t xml:space="preserve"> </w:t>
      </w:r>
      <w:r w:rsidR="00675A16" w:rsidRPr="00D0257F">
        <w:t>Rashodi</w:t>
      </w:r>
      <w:r w:rsidRPr="00D0257F">
        <w:t xml:space="preserve"> ove aktivnosti obuhvaćaju</w:t>
      </w:r>
      <w:r w:rsidR="00675A16" w:rsidRPr="00D0257F">
        <w:t xml:space="preserve"> rashode</w:t>
      </w:r>
      <w:r w:rsidR="003A5E8E" w:rsidRPr="00D0257F">
        <w:t xml:space="preserve"> za plaće</w:t>
      </w:r>
      <w:r w:rsidRPr="00D0257F">
        <w:t xml:space="preserve"> </w:t>
      </w:r>
      <w:r w:rsidR="00675A16" w:rsidRPr="00D0257F">
        <w:t>zaposlenih na projektu te mat</w:t>
      </w:r>
      <w:r w:rsidR="003A5E8E" w:rsidRPr="00D0257F">
        <w:t>e</w:t>
      </w:r>
      <w:r w:rsidR="00675A16" w:rsidRPr="00D0257F">
        <w:t>rijaln</w:t>
      </w:r>
      <w:r w:rsidR="002758D9">
        <w:t>e</w:t>
      </w:r>
      <w:r w:rsidR="00675A16" w:rsidRPr="00D0257F">
        <w:t xml:space="preserve"> rashode</w:t>
      </w:r>
      <w:r w:rsidR="003A5E8E" w:rsidRPr="00D0257F">
        <w:t xml:space="preserve"> za aktivnosti projekta.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40"/>
        <w:gridCol w:w="1524"/>
        <w:gridCol w:w="2410"/>
        <w:gridCol w:w="1027"/>
      </w:tblGrid>
      <w:tr w:rsidR="00AC2006" w:rsidRPr="00860C12" w14:paraId="233330F1" w14:textId="77777777" w:rsidTr="00B96541">
        <w:trPr>
          <w:trHeight w:val="588"/>
          <w:jc w:val="center"/>
        </w:trPr>
        <w:tc>
          <w:tcPr>
            <w:tcW w:w="2440" w:type="dxa"/>
            <w:shd w:val="clear" w:color="auto" w:fill="BFBFBF" w:themeFill="background1" w:themeFillShade="BF"/>
            <w:vAlign w:val="center"/>
          </w:tcPr>
          <w:p w14:paraId="57FCEAB7" w14:textId="77777777" w:rsidR="00AC2006" w:rsidRPr="00860C12" w:rsidRDefault="00AC2006" w:rsidP="00AC2006">
            <w:pPr>
              <w:spacing w:line="360" w:lineRule="auto"/>
              <w:jc w:val="center"/>
              <w:rPr>
                <w:b/>
              </w:rPr>
            </w:pPr>
            <w:r w:rsidRPr="00860C12">
              <w:rPr>
                <w:b/>
              </w:rPr>
              <w:t>Aktivnost</w:t>
            </w:r>
          </w:p>
        </w:tc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5B9333FF" w14:textId="5AD54998" w:rsidR="00AC2006" w:rsidRPr="00860C12" w:rsidRDefault="00AC2006" w:rsidP="00AC2006">
            <w:pPr>
              <w:spacing w:line="360" w:lineRule="auto"/>
              <w:jc w:val="center"/>
              <w:rPr>
                <w:b/>
              </w:rPr>
            </w:pPr>
            <w:r w:rsidRPr="00860C12">
              <w:rPr>
                <w:b/>
              </w:rPr>
              <w:t>Izvorni plan ili rebalans 2023.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3484AF9E" w14:textId="7FD4A408" w:rsidR="00AC2006" w:rsidRPr="00860C12" w:rsidRDefault="00AC2006" w:rsidP="00AC2006">
            <w:pPr>
              <w:spacing w:line="360" w:lineRule="auto"/>
              <w:jc w:val="center"/>
            </w:pPr>
            <w:r w:rsidRPr="00860C12">
              <w:rPr>
                <w:b/>
              </w:rPr>
              <w:t>Ostvarenje/izvršenje 2023.</w:t>
            </w:r>
          </w:p>
        </w:tc>
        <w:tc>
          <w:tcPr>
            <w:tcW w:w="1027" w:type="dxa"/>
            <w:shd w:val="clear" w:color="auto" w:fill="BFBFBF" w:themeFill="background1" w:themeFillShade="BF"/>
            <w:vAlign w:val="center"/>
          </w:tcPr>
          <w:p w14:paraId="25720B96" w14:textId="423BCA43" w:rsidR="00AC2006" w:rsidRPr="00860C12" w:rsidRDefault="00AC2006" w:rsidP="00AC2006">
            <w:pPr>
              <w:spacing w:line="360" w:lineRule="auto"/>
              <w:jc w:val="center"/>
            </w:pPr>
            <w:r w:rsidRPr="00860C12">
              <w:rPr>
                <w:b/>
              </w:rPr>
              <w:t>Indeks</w:t>
            </w:r>
          </w:p>
        </w:tc>
      </w:tr>
      <w:tr w:rsidR="00884256" w:rsidRPr="00860C12" w14:paraId="1D5EBEF3" w14:textId="77777777" w:rsidTr="00D0257F">
        <w:trPr>
          <w:trHeight w:val="2284"/>
          <w:jc w:val="center"/>
        </w:trPr>
        <w:tc>
          <w:tcPr>
            <w:tcW w:w="2440" w:type="dxa"/>
          </w:tcPr>
          <w:p w14:paraId="75D7F634" w14:textId="77777777" w:rsidR="00221D60" w:rsidRPr="00860C12" w:rsidRDefault="00884256" w:rsidP="00A70E85">
            <w:pPr>
              <w:spacing w:line="360" w:lineRule="auto"/>
            </w:pPr>
            <w:r w:rsidRPr="00860C12">
              <w:t>K679106.003</w:t>
            </w:r>
          </w:p>
          <w:p w14:paraId="7AD1DFCB" w14:textId="69EEAC1A" w:rsidR="00884256" w:rsidRPr="00860C12" w:rsidRDefault="00221D60" w:rsidP="00A70E85">
            <w:pPr>
              <w:spacing w:line="360" w:lineRule="auto"/>
              <w:rPr>
                <w:lang w:eastAsia="hr-HR"/>
              </w:rPr>
            </w:pPr>
            <w:r w:rsidRPr="00860C12">
              <w:t>Razvoj, unapređenje i provedba stručne prakse u visokom obrazovanju</w:t>
            </w:r>
          </w:p>
        </w:tc>
        <w:tc>
          <w:tcPr>
            <w:tcW w:w="1524" w:type="dxa"/>
            <w:vAlign w:val="center"/>
          </w:tcPr>
          <w:p w14:paraId="60837757" w14:textId="57069ED2" w:rsidR="00884256" w:rsidRPr="00860C12" w:rsidRDefault="00AC2006" w:rsidP="00A70E85">
            <w:pPr>
              <w:spacing w:line="360" w:lineRule="auto"/>
              <w:jc w:val="center"/>
            </w:pPr>
            <w:r w:rsidRPr="00860C12">
              <w:t>11.994,00</w:t>
            </w:r>
          </w:p>
        </w:tc>
        <w:tc>
          <w:tcPr>
            <w:tcW w:w="2410" w:type="dxa"/>
            <w:vAlign w:val="center"/>
          </w:tcPr>
          <w:p w14:paraId="2E86238A" w14:textId="5DA7DDB5" w:rsidR="00884256" w:rsidRPr="00860C12" w:rsidRDefault="00AC2006" w:rsidP="00A70E85">
            <w:pPr>
              <w:spacing w:line="360" w:lineRule="auto"/>
              <w:jc w:val="center"/>
            </w:pPr>
            <w:r w:rsidRPr="00860C12">
              <w:t>11.994,46</w:t>
            </w:r>
          </w:p>
        </w:tc>
        <w:tc>
          <w:tcPr>
            <w:tcW w:w="1027" w:type="dxa"/>
            <w:vAlign w:val="center"/>
          </w:tcPr>
          <w:p w14:paraId="6B0E444A" w14:textId="6E3799D7" w:rsidR="00884256" w:rsidRPr="00860C12" w:rsidRDefault="00AC2006" w:rsidP="00A70E85">
            <w:pPr>
              <w:spacing w:line="360" w:lineRule="auto"/>
              <w:jc w:val="center"/>
            </w:pPr>
            <w:r w:rsidRPr="00860C12">
              <w:t>100,00</w:t>
            </w:r>
          </w:p>
        </w:tc>
      </w:tr>
    </w:tbl>
    <w:p w14:paraId="4602FA73" w14:textId="4E96D51B" w:rsidR="007953B0" w:rsidRPr="00860C12" w:rsidRDefault="007953B0" w:rsidP="00A70E85">
      <w:pPr>
        <w:spacing w:before="240" w:line="360" w:lineRule="auto"/>
        <w:jc w:val="both"/>
      </w:pPr>
    </w:p>
    <w:p w14:paraId="3B2856D9" w14:textId="6AD02F17" w:rsidR="00871EA9" w:rsidRPr="00860C12" w:rsidRDefault="008B45D8" w:rsidP="00A70E8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360" w:lineRule="auto"/>
        <w:jc w:val="both"/>
        <w:rPr>
          <w:b/>
        </w:rPr>
      </w:pPr>
      <w:bookmarkStart w:id="1" w:name="_Hlk161752984"/>
      <w:r w:rsidRPr="00860C12">
        <w:rPr>
          <w:b/>
        </w:rPr>
        <w:t>K679084.005</w:t>
      </w:r>
      <w:r w:rsidR="00871EA9" w:rsidRPr="00860C12">
        <w:rPr>
          <w:b/>
        </w:rPr>
        <w:t xml:space="preserve"> Razvoj i primjena naprednih građevinskih materijala za izgradnju zdravih</w:t>
      </w:r>
      <w:r w:rsidR="00636E61" w:rsidRPr="00860C12">
        <w:rPr>
          <w:b/>
        </w:rPr>
        <w:t xml:space="preserve"> </w:t>
      </w:r>
      <w:r w:rsidR="00871EA9" w:rsidRPr="00860C12">
        <w:rPr>
          <w:b/>
        </w:rPr>
        <w:t>zgrada: zaštita od ionizirajućeg zračenja</w:t>
      </w:r>
    </w:p>
    <w:p w14:paraId="45D41C28" w14:textId="4C4C2F44" w:rsidR="00AC458C" w:rsidRPr="00DB786A" w:rsidRDefault="009E1A2D" w:rsidP="00AC458C">
      <w:pPr>
        <w:spacing w:before="240" w:line="360" w:lineRule="auto"/>
        <w:jc w:val="both"/>
      </w:pPr>
      <w:r w:rsidRPr="00860C12">
        <w:t xml:space="preserve">Glavni cilj projekta je povećati tržišno orijentirane istraživačke, razvojne i inovacijske aktivnosti suradnjom znanstvenih organizacija kroz istraživanje i razvoj naprednih građevinskih materijala kojima se smanjuje negativni utjecaj EMZ/neionizirajućeg zračenja na zdravlje, te osigurava njihova primjena u gospodarstvu, osobito u području izgradnje zdravih </w:t>
      </w:r>
      <w:r w:rsidRPr="00DB786A">
        <w:t>zgrada, što će u konačnici doprinijeti smanjenju utjecaja EMZ/neionizirajućeg zračenja na zdravlje.</w:t>
      </w:r>
      <w:r w:rsidR="00DB786A" w:rsidRPr="00DB786A">
        <w:t xml:space="preserve"> </w:t>
      </w:r>
      <w:r w:rsidRPr="00DB786A">
        <w:t>Rashode ove aktivnosti čine mat</w:t>
      </w:r>
      <w:r w:rsidR="003A5E8E" w:rsidRPr="00DB786A">
        <w:t>e</w:t>
      </w:r>
      <w:r w:rsidRPr="00DB786A">
        <w:t>r</w:t>
      </w:r>
      <w:r w:rsidR="003A5E8E" w:rsidRPr="00DB786A">
        <w:t>ijalni rashodi</w:t>
      </w:r>
      <w:r w:rsidR="00AC458C" w:rsidRPr="00DB786A">
        <w:t xml:space="preserve"> za aktivnosti provedbe projekta.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2410"/>
        <w:gridCol w:w="1027"/>
      </w:tblGrid>
      <w:tr w:rsidR="00AC2006" w:rsidRPr="00860C12" w14:paraId="0F7175E8" w14:textId="77777777" w:rsidTr="00B96541">
        <w:trPr>
          <w:trHeight w:val="484"/>
          <w:jc w:val="center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bookmarkEnd w:id="1"/>
          <w:p w14:paraId="78AC3BDC" w14:textId="77777777" w:rsidR="00AC2006" w:rsidRPr="00860C12" w:rsidRDefault="00AC2006" w:rsidP="00AC2006">
            <w:pPr>
              <w:spacing w:line="360" w:lineRule="auto"/>
              <w:jc w:val="center"/>
              <w:rPr>
                <w:b/>
              </w:rPr>
            </w:pPr>
            <w:r w:rsidRPr="00860C12">
              <w:rPr>
                <w:b/>
              </w:rPr>
              <w:lastRenderedPageBreak/>
              <w:t>Aktivnost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7CB9A7A" w14:textId="5A443816" w:rsidR="00AC2006" w:rsidRPr="00860C12" w:rsidRDefault="00AC2006" w:rsidP="00AC2006">
            <w:pPr>
              <w:spacing w:line="360" w:lineRule="auto"/>
              <w:jc w:val="center"/>
              <w:rPr>
                <w:b/>
              </w:rPr>
            </w:pPr>
            <w:r w:rsidRPr="00860C12">
              <w:rPr>
                <w:b/>
              </w:rPr>
              <w:t>Izvorni plan ili rebalans 2023.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B2FE3BC" w14:textId="5EC2D442" w:rsidR="00AC2006" w:rsidRPr="00860C12" w:rsidRDefault="00AC2006" w:rsidP="00AC2006">
            <w:pPr>
              <w:spacing w:line="360" w:lineRule="auto"/>
              <w:jc w:val="center"/>
            </w:pPr>
            <w:r w:rsidRPr="00860C12">
              <w:rPr>
                <w:b/>
              </w:rPr>
              <w:t>Ostvarenje/izvršenje 2023.</w:t>
            </w:r>
          </w:p>
        </w:tc>
        <w:tc>
          <w:tcPr>
            <w:tcW w:w="1027" w:type="dxa"/>
            <w:shd w:val="clear" w:color="auto" w:fill="BFBFBF" w:themeFill="background1" w:themeFillShade="BF"/>
            <w:vAlign w:val="center"/>
          </w:tcPr>
          <w:p w14:paraId="1BC92A88" w14:textId="3F99B6D3" w:rsidR="00AC2006" w:rsidRPr="00860C12" w:rsidRDefault="00AC2006" w:rsidP="00AC2006">
            <w:pPr>
              <w:spacing w:line="360" w:lineRule="auto"/>
              <w:jc w:val="center"/>
            </w:pPr>
            <w:r w:rsidRPr="00860C12">
              <w:rPr>
                <w:b/>
              </w:rPr>
              <w:t>Indeks</w:t>
            </w:r>
          </w:p>
        </w:tc>
      </w:tr>
      <w:tr w:rsidR="00221D60" w:rsidRPr="00860C12" w14:paraId="0B74E444" w14:textId="77777777" w:rsidTr="00B96541">
        <w:trPr>
          <w:jc w:val="center"/>
        </w:trPr>
        <w:tc>
          <w:tcPr>
            <w:tcW w:w="2405" w:type="dxa"/>
          </w:tcPr>
          <w:p w14:paraId="5848C734" w14:textId="2C110EEA" w:rsidR="00221D60" w:rsidRPr="00860C12" w:rsidRDefault="00221D60" w:rsidP="00A70E85">
            <w:pPr>
              <w:spacing w:line="360" w:lineRule="auto"/>
            </w:pPr>
            <w:r w:rsidRPr="00860C12">
              <w:t>K679084.005</w:t>
            </w:r>
          </w:p>
          <w:p w14:paraId="3573DD0E" w14:textId="0C939AFD" w:rsidR="00221D60" w:rsidRPr="00860C12" w:rsidRDefault="00221D60" w:rsidP="00A70E85">
            <w:pPr>
              <w:spacing w:line="360" w:lineRule="auto"/>
              <w:rPr>
                <w:lang w:eastAsia="hr-HR"/>
              </w:rPr>
            </w:pPr>
            <w:r w:rsidRPr="00860C12">
              <w:t>Ulaganje u znanost i inovacije (SIIF)</w:t>
            </w:r>
          </w:p>
        </w:tc>
        <w:tc>
          <w:tcPr>
            <w:tcW w:w="1559" w:type="dxa"/>
            <w:vAlign w:val="center"/>
          </w:tcPr>
          <w:p w14:paraId="38F431F6" w14:textId="35152439" w:rsidR="00221D60" w:rsidRPr="00860C12" w:rsidRDefault="00AC2006" w:rsidP="00A70E85">
            <w:pPr>
              <w:spacing w:line="360" w:lineRule="auto"/>
              <w:jc w:val="center"/>
              <w:rPr>
                <w:color w:val="FF0000"/>
              </w:rPr>
            </w:pPr>
            <w:r w:rsidRPr="00860C12">
              <w:rPr>
                <w:bCs/>
              </w:rPr>
              <w:t>23.691,00</w:t>
            </w:r>
          </w:p>
        </w:tc>
        <w:tc>
          <w:tcPr>
            <w:tcW w:w="2410" w:type="dxa"/>
            <w:vAlign w:val="center"/>
          </w:tcPr>
          <w:p w14:paraId="0B2D75F9" w14:textId="5BBE69FD" w:rsidR="00221D60" w:rsidRPr="00860C12" w:rsidRDefault="00AC2006" w:rsidP="00A70E85">
            <w:pPr>
              <w:spacing w:line="360" w:lineRule="auto"/>
              <w:jc w:val="center"/>
              <w:rPr>
                <w:color w:val="FF0000"/>
              </w:rPr>
            </w:pPr>
            <w:r w:rsidRPr="00860C12">
              <w:rPr>
                <w:bCs/>
              </w:rPr>
              <w:t>23.691,30</w:t>
            </w:r>
          </w:p>
        </w:tc>
        <w:tc>
          <w:tcPr>
            <w:tcW w:w="1027" w:type="dxa"/>
            <w:vAlign w:val="center"/>
          </w:tcPr>
          <w:p w14:paraId="6A138F7F" w14:textId="628D7A00" w:rsidR="00221D60" w:rsidRPr="00860C12" w:rsidRDefault="00AC2006" w:rsidP="00A70E85">
            <w:pPr>
              <w:spacing w:line="360" w:lineRule="auto"/>
              <w:jc w:val="center"/>
              <w:rPr>
                <w:color w:val="FF0000"/>
              </w:rPr>
            </w:pPr>
            <w:r w:rsidRPr="00860C12">
              <w:rPr>
                <w:bCs/>
              </w:rPr>
              <w:t>100,00</w:t>
            </w:r>
          </w:p>
        </w:tc>
      </w:tr>
    </w:tbl>
    <w:p w14:paraId="5D8662BF" w14:textId="77777777" w:rsidR="00083069" w:rsidRDefault="00083069" w:rsidP="00A70E85">
      <w:pPr>
        <w:spacing w:before="240" w:line="360" w:lineRule="auto"/>
        <w:jc w:val="both"/>
        <w:rPr>
          <w:color w:val="FF0000"/>
        </w:rPr>
      </w:pPr>
    </w:p>
    <w:p w14:paraId="30CC8D11" w14:textId="6FB1A0F7" w:rsidR="00083069" w:rsidRPr="00860C12" w:rsidRDefault="00C6077A" w:rsidP="00F92302">
      <w:pPr>
        <w:pBdr>
          <w:top w:val="dotted" w:sz="4" w:space="1" w:color="808080"/>
          <w:bottom w:val="dotted" w:sz="4" w:space="1" w:color="808080"/>
        </w:pBdr>
        <w:shd w:val="clear" w:color="auto" w:fill="BFBFBF" w:themeFill="background1" w:themeFillShade="BF"/>
        <w:spacing w:line="360" w:lineRule="auto"/>
        <w:jc w:val="both"/>
        <w:rPr>
          <w:rFonts w:eastAsia="Calibri"/>
          <w:b/>
        </w:rPr>
      </w:pPr>
      <w:r>
        <w:rPr>
          <w:rFonts w:eastAsia="Calibri"/>
          <w:b/>
        </w:rPr>
        <w:t>A679071 EU projekti Sveučilišta Josipa Jurja Strossmayera u Osijeku</w:t>
      </w:r>
    </w:p>
    <w:p w14:paraId="4357E0A2" w14:textId="77777777" w:rsidR="00F92302" w:rsidRDefault="00F92302" w:rsidP="00A70E85">
      <w:pPr>
        <w:spacing w:before="240" w:line="360" w:lineRule="auto"/>
        <w:jc w:val="both"/>
        <w:rPr>
          <w:color w:val="FF000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99"/>
        <w:gridCol w:w="1665"/>
        <w:gridCol w:w="2410"/>
        <w:gridCol w:w="1027"/>
      </w:tblGrid>
      <w:tr w:rsidR="003634AD" w:rsidRPr="00860C12" w14:paraId="4FDE97E3" w14:textId="77777777" w:rsidTr="00B96541">
        <w:trPr>
          <w:trHeight w:val="617"/>
          <w:jc w:val="center"/>
        </w:trPr>
        <w:tc>
          <w:tcPr>
            <w:tcW w:w="2299" w:type="dxa"/>
            <w:shd w:val="clear" w:color="auto" w:fill="BFBFBF" w:themeFill="background1" w:themeFillShade="BF"/>
            <w:vAlign w:val="center"/>
          </w:tcPr>
          <w:p w14:paraId="0DB0D778" w14:textId="77777777" w:rsidR="003634AD" w:rsidRPr="00FF5BC0" w:rsidRDefault="003634AD" w:rsidP="00B96541">
            <w:pPr>
              <w:spacing w:line="360" w:lineRule="auto"/>
              <w:jc w:val="center"/>
              <w:rPr>
                <w:b/>
              </w:rPr>
            </w:pPr>
            <w:r w:rsidRPr="00FF5BC0">
              <w:rPr>
                <w:b/>
              </w:rPr>
              <w:t>Aktivnost</w:t>
            </w:r>
          </w:p>
        </w:tc>
        <w:tc>
          <w:tcPr>
            <w:tcW w:w="1665" w:type="dxa"/>
            <w:shd w:val="clear" w:color="auto" w:fill="BFBFBF" w:themeFill="background1" w:themeFillShade="BF"/>
            <w:vAlign w:val="center"/>
          </w:tcPr>
          <w:p w14:paraId="5446CDBD" w14:textId="77777777" w:rsidR="003634AD" w:rsidRPr="00FF5BC0" w:rsidRDefault="003634AD" w:rsidP="00B96541">
            <w:pPr>
              <w:spacing w:line="360" w:lineRule="auto"/>
              <w:jc w:val="center"/>
              <w:rPr>
                <w:b/>
              </w:rPr>
            </w:pPr>
            <w:r w:rsidRPr="00FF5BC0">
              <w:rPr>
                <w:b/>
              </w:rPr>
              <w:t>Izvorni plan ili rebalans 2023.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3B4FBFE0" w14:textId="77777777" w:rsidR="003634AD" w:rsidRPr="00FF5BC0" w:rsidRDefault="003634AD" w:rsidP="00B96541">
            <w:pPr>
              <w:spacing w:line="360" w:lineRule="auto"/>
              <w:jc w:val="center"/>
            </w:pPr>
            <w:r w:rsidRPr="00FF5BC0">
              <w:rPr>
                <w:b/>
              </w:rPr>
              <w:t>Ostvarenje/izvršenje 2023.</w:t>
            </w:r>
          </w:p>
        </w:tc>
        <w:tc>
          <w:tcPr>
            <w:tcW w:w="1027" w:type="dxa"/>
            <w:shd w:val="clear" w:color="auto" w:fill="BFBFBF" w:themeFill="background1" w:themeFillShade="BF"/>
            <w:vAlign w:val="center"/>
          </w:tcPr>
          <w:p w14:paraId="7D80C3A5" w14:textId="77777777" w:rsidR="003634AD" w:rsidRPr="00FF5BC0" w:rsidRDefault="003634AD" w:rsidP="00B96541">
            <w:pPr>
              <w:spacing w:line="360" w:lineRule="auto"/>
              <w:jc w:val="center"/>
            </w:pPr>
            <w:r w:rsidRPr="00FF5BC0">
              <w:rPr>
                <w:b/>
              </w:rPr>
              <w:t>Indeks</w:t>
            </w:r>
          </w:p>
        </w:tc>
      </w:tr>
      <w:tr w:rsidR="003634AD" w:rsidRPr="00860C12" w14:paraId="406815AB" w14:textId="77777777" w:rsidTr="00B96541">
        <w:trPr>
          <w:trHeight w:val="1030"/>
          <w:jc w:val="center"/>
        </w:trPr>
        <w:tc>
          <w:tcPr>
            <w:tcW w:w="2299" w:type="dxa"/>
          </w:tcPr>
          <w:p w14:paraId="5742F439" w14:textId="77777777" w:rsidR="00ED0C1D" w:rsidRDefault="00ED0C1D" w:rsidP="00B96541">
            <w:pPr>
              <w:spacing w:line="360" w:lineRule="auto"/>
            </w:pPr>
          </w:p>
          <w:p w14:paraId="0E8349EF" w14:textId="77777777" w:rsidR="003634AD" w:rsidRPr="00D425A1" w:rsidRDefault="003634AD" w:rsidP="00B96541">
            <w:pPr>
              <w:spacing w:line="360" w:lineRule="auto"/>
              <w:rPr>
                <w:sz w:val="20"/>
                <w:szCs w:val="20"/>
              </w:rPr>
            </w:pPr>
            <w:r w:rsidRPr="00D425A1">
              <w:rPr>
                <w:sz w:val="20"/>
                <w:szCs w:val="20"/>
              </w:rPr>
              <w:t>A679071</w:t>
            </w:r>
          </w:p>
          <w:p w14:paraId="251BEDF5" w14:textId="04EDDB80" w:rsidR="00B96541" w:rsidRPr="00FF5BC0" w:rsidRDefault="00B96541" w:rsidP="00B96541">
            <w:pPr>
              <w:spacing w:line="360" w:lineRule="auto"/>
            </w:pPr>
            <w:r w:rsidRPr="00D425A1">
              <w:rPr>
                <w:sz w:val="20"/>
                <w:szCs w:val="20"/>
              </w:rPr>
              <w:t>EU projekti Sveučilišta u Osijeku (iz evidencijskih prihoda)</w:t>
            </w:r>
          </w:p>
        </w:tc>
        <w:tc>
          <w:tcPr>
            <w:tcW w:w="1665" w:type="dxa"/>
            <w:vAlign w:val="center"/>
          </w:tcPr>
          <w:p w14:paraId="3B849577" w14:textId="77777777" w:rsidR="003634AD" w:rsidRPr="00FF5BC0" w:rsidRDefault="003634AD" w:rsidP="00B96541">
            <w:pPr>
              <w:spacing w:line="360" w:lineRule="auto"/>
              <w:jc w:val="center"/>
            </w:pPr>
            <w:r w:rsidRPr="00FF5BC0">
              <w:rPr>
                <w:bCs/>
              </w:rPr>
              <w:t>251.925,00</w:t>
            </w:r>
          </w:p>
        </w:tc>
        <w:tc>
          <w:tcPr>
            <w:tcW w:w="2410" w:type="dxa"/>
            <w:vAlign w:val="center"/>
          </w:tcPr>
          <w:p w14:paraId="6866B851" w14:textId="77777777" w:rsidR="003634AD" w:rsidRPr="00FF5BC0" w:rsidRDefault="003634AD" w:rsidP="00B96541">
            <w:pPr>
              <w:spacing w:line="360" w:lineRule="auto"/>
              <w:jc w:val="center"/>
            </w:pPr>
            <w:r w:rsidRPr="00FF5BC0">
              <w:rPr>
                <w:bCs/>
              </w:rPr>
              <w:t>183.900,80</w:t>
            </w:r>
          </w:p>
        </w:tc>
        <w:tc>
          <w:tcPr>
            <w:tcW w:w="1027" w:type="dxa"/>
            <w:vAlign w:val="center"/>
          </w:tcPr>
          <w:p w14:paraId="47B9DD35" w14:textId="77777777" w:rsidR="003634AD" w:rsidRPr="00FF5BC0" w:rsidRDefault="003634AD" w:rsidP="00B96541">
            <w:pPr>
              <w:spacing w:line="360" w:lineRule="auto"/>
              <w:jc w:val="center"/>
            </w:pPr>
            <w:r w:rsidRPr="00FF5BC0">
              <w:rPr>
                <w:bCs/>
              </w:rPr>
              <w:t>73,00</w:t>
            </w:r>
          </w:p>
        </w:tc>
      </w:tr>
    </w:tbl>
    <w:p w14:paraId="6AFA3177" w14:textId="52530E54" w:rsidR="00C6077A" w:rsidRDefault="00C6077A" w:rsidP="00C6077A">
      <w:pPr>
        <w:spacing w:before="240" w:line="360" w:lineRule="auto"/>
        <w:jc w:val="both"/>
      </w:pPr>
      <w:r w:rsidRPr="00736B26">
        <w:t xml:space="preserve">Projekti koji se financiraju iz A679071 EU projekti Sveučilišta Josipa Jurja Strossmayera u Osijeku ostvareni su u visini od 73% od planiranog za 2023. godinu. </w:t>
      </w:r>
      <w:r w:rsidR="00FF5BC0" w:rsidRPr="00736B26">
        <w:t xml:space="preserve">Rashodi ove aktivnosti temelje se na izvršenju EU projekata i bilježi se pad projektnih aktivnosti te su rashodi izvršeni u manjem iznosu od planiranog. </w:t>
      </w:r>
      <w:r w:rsidRPr="00736B26">
        <w:t>U nastavku je prikazan pregled projekta po aktivnostima na kojima su izvršeni rashodi za navedene projekte.</w:t>
      </w:r>
    </w:p>
    <w:p w14:paraId="57598B4C" w14:textId="77777777" w:rsidR="00D425A1" w:rsidRDefault="00D425A1" w:rsidP="00C6077A">
      <w:pPr>
        <w:spacing w:before="240" w:line="360" w:lineRule="auto"/>
        <w:jc w:val="both"/>
      </w:pPr>
    </w:p>
    <w:p w14:paraId="3A0185AD" w14:textId="5705EA21" w:rsidR="007953B0" w:rsidRPr="00860C12" w:rsidRDefault="007953B0" w:rsidP="00A70E85">
      <w:pPr>
        <w:pBdr>
          <w:top w:val="dotted" w:sz="4" w:space="1" w:color="808080"/>
          <w:bottom w:val="dotted" w:sz="4" w:space="1" w:color="808080"/>
        </w:pBdr>
        <w:shd w:val="clear" w:color="auto" w:fill="BFBFBF" w:themeFill="background1" w:themeFillShade="BF"/>
        <w:spacing w:line="360" w:lineRule="auto"/>
        <w:jc w:val="both"/>
        <w:rPr>
          <w:rFonts w:eastAsia="Calibri"/>
          <w:b/>
        </w:rPr>
      </w:pPr>
      <w:bookmarkStart w:id="2" w:name="_Hlk161753143"/>
      <w:r w:rsidRPr="00860C12">
        <w:rPr>
          <w:rFonts w:eastAsia="Calibri"/>
          <w:b/>
        </w:rPr>
        <w:t xml:space="preserve">K679071.005 </w:t>
      </w:r>
      <w:r w:rsidRPr="00860C12">
        <w:rPr>
          <w:b/>
        </w:rPr>
        <w:t>ERASMUS+ projekt individualne mobilnosti nastavnog i nenastavnog osoblja kroz boravak na inozemnim ustanovama</w:t>
      </w:r>
    </w:p>
    <w:p w14:paraId="5FA81963" w14:textId="77777777" w:rsidR="006E0660" w:rsidRPr="00860C12" w:rsidRDefault="006E0660" w:rsidP="00A70E85">
      <w:pPr>
        <w:spacing w:line="360" w:lineRule="auto"/>
        <w:jc w:val="both"/>
        <w:rPr>
          <w:lang w:eastAsia="hr-HR"/>
        </w:rPr>
      </w:pPr>
    </w:p>
    <w:bookmarkEnd w:id="2"/>
    <w:p w14:paraId="4671D106" w14:textId="2EA0BB4A" w:rsidR="00B96541" w:rsidRPr="00860C12" w:rsidRDefault="003A5E8E" w:rsidP="00A70E85">
      <w:pPr>
        <w:spacing w:line="360" w:lineRule="auto"/>
        <w:jc w:val="both"/>
        <w:rPr>
          <w:noProof/>
        </w:rPr>
      </w:pPr>
      <w:r>
        <w:rPr>
          <w:lang w:eastAsia="hr-HR"/>
        </w:rPr>
        <w:t xml:space="preserve">Rashode ove aktivnosti čine </w:t>
      </w:r>
      <w:r w:rsidR="006E2D4D">
        <w:rPr>
          <w:lang w:eastAsia="hr-HR"/>
        </w:rPr>
        <w:t>rashodi za stručno usavršavanje zaposlenika. Rashodi projekta izvršeni su sukladno</w:t>
      </w:r>
      <w:r w:rsidR="006E2D4D" w:rsidRPr="00860C12">
        <w:rPr>
          <w:noProof/>
        </w:rPr>
        <w:t xml:space="preserve"> primljenom prijenosu sredst</w:t>
      </w:r>
      <w:r w:rsidR="00DB786A">
        <w:rPr>
          <w:noProof/>
        </w:rPr>
        <w:t>a</w:t>
      </w:r>
      <w:r w:rsidR="006E2D4D" w:rsidRPr="00860C12">
        <w:rPr>
          <w:noProof/>
        </w:rPr>
        <w:t>va Sveučilišta Josipa Jurja Strossmayera, odnosno prijavama na program mobilnosti, a temeljem Ugovora o međufakutetskoj suradnji Agencije za znanost i visoko obrazovanje i Erasmus+ program mobilnosti.</w:t>
      </w:r>
    </w:p>
    <w:tbl>
      <w:tblPr>
        <w:tblStyle w:val="TableGrid"/>
        <w:tblpPr w:leftFromText="180" w:rightFromText="180" w:vertAnchor="text" w:horzAnchor="margin" w:tblpXSpec="center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2440"/>
        <w:gridCol w:w="1524"/>
        <w:gridCol w:w="2410"/>
        <w:gridCol w:w="1276"/>
      </w:tblGrid>
      <w:tr w:rsidR="00AC2006" w:rsidRPr="00860C12" w14:paraId="11B29523" w14:textId="77777777" w:rsidTr="00083069">
        <w:trPr>
          <w:trHeight w:val="483"/>
        </w:trPr>
        <w:tc>
          <w:tcPr>
            <w:tcW w:w="2440" w:type="dxa"/>
            <w:shd w:val="clear" w:color="auto" w:fill="BFBFBF" w:themeFill="background1" w:themeFillShade="BF"/>
            <w:vAlign w:val="center"/>
          </w:tcPr>
          <w:p w14:paraId="65EBB004" w14:textId="77777777" w:rsidR="00AC2006" w:rsidRPr="00C6077A" w:rsidRDefault="00AC2006" w:rsidP="00AC2006">
            <w:pPr>
              <w:spacing w:line="360" w:lineRule="auto"/>
              <w:jc w:val="center"/>
              <w:rPr>
                <w:b/>
              </w:rPr>
            </w:pPr>
            <w:r w:rsidRPr="00C6077A">
              <w:rPr>
                <w:b/>
              </w:rPr>
              <w:lastRenderedPageBreak/>
              <w:t>Aktivnost</w:t>
            </w:r>
          </w:p>
        </w:tc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1DCC756D" w14:textId="36F199B0" w:rsidR="00AC2006" w:rsidRPr="00C6077A" w:rsidRDefault="00AC2006" w:rsidP="00AC2006">
            <w:pPr>
              <w:spacing w:line="360" w:lineRule="auto"/>
              <w:jc w:val="center"/>
              <w:rPr>
                <w:b/>
              </w:rPr>
            </w:pPr>
            <w:r w:rsidRPr="00C6077A">
              <w:rPr>
                <w:b/>
              </w:rPr>
              <w:t>Izvorni plan ili rebalans 2023.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7C1A69F" w14:textId="73725ADE" w:rsidR="00AC2006" w:rsidRPr="00C6077A" w:rsidRDefault="00AC2006" w:rsidP="00AC2006">
            <w:pPr>
              <w:spacing w:line="360" w:lineRule="auto"/>
              <w:jc w:val="center"/>
            </w:pPr>
            <w:r w:rsidRPr="00C6077A">
              <w:rPr>
                <w:b/>
              </w:rPr>
              <w:t>Ostvarenje/izvršenje 2023.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B21FB4C" w14:textId="0ED36C04" w:rsidR="00AC2006" w:rsidRPr="00C6077A" w:rsidRDefault="00AC2006" w:rsidP="00AC2006">
            <w:pPr>
              <w:spacing w:line="360" w:lineRule="auto"/>
              <w:jc w:val="center"/>
            </w:pPr>
            <w:r w:rsidRPr="00C6077A">
              <w:rPr>
                <w:b/>
              </w:rPr>
              <w:t>Indeks</w:t>
            </w:r>
          </w:p>
        </w:tc>
      </w:tr>
      <w:tr w:rsidR="00AC2006" w:rsidRPr="00860C12" w14:paraId="7BEC2928" w14:textId="77777777" w:rsidTr="00083069">
        <w:tc>
          <w:tcPr>
            <w:tcW w:w="2440" w:type="dxa"/>
          </w:tcPr>
          <w:p w14:paraId="0B102361" w14:textId="77777777" w:rsidR="001865DA" w:rsidRPr="00ED0C1D" w:rsidRDefault="001865DA" w:rsidP="001865DA">
            <w:pPr>
              <w:spacing w:line="360" w:lineRule="auto"/>
              <w:rPr>
                <w:sz w:val="20"/>
                <w:szCs w:val="20"/>
              </w:rPr>
            </w:pPr>
            <w:r w:rsidRPr="00ED0C1D">
              <w:rPr>
                <w:sz w:val="20"/>
                <w:szCs w:val="20"/>
              </w:rPr>
              <w:t>A679071.005</w:t>
            </w:r>
          </w:p>
          <w:p w14:paraId="0529F48B" w14:textId="77777777" w:rsidR="001865DA" w:rsidRPr="00C6077A" w:rsidRDefault="001865DA" w:rsidP="001865DA">
            <w:pPr>
              <w:spacing w:line="360" w:lineRule="auto"/>
              <w:rPr>
                <w:lang w:eastAsia="hr-HR"/>
              </w:rPr>
            </w:pPr>
            <w:r w:rsidRPr="00ED0C1D">
              <w:rPr>
                <w:sz w:val="20"/>
                <w:szCs w:val="20"/>
              </w:rPr>
              <w:t>ERASMUS+ projekt individualne mobilnosti nastavnog i nenastavnog osoblja kroz boravak na inozemnim ustanovama</w:t>
            </w:r>
          </w:p>
        </w:tc>
        <w:tc>
          <w:tcPr>
            <w:tcW w:w="1524" w:type="dxa"/>
            <w:vAlign w:val="center"/>
          </w:tcPr>
          <w:p w14:paraId="359723BB" w14:textId="3F5A24B7" w:rsidR="001865DA" w:rsidRPr="00C6077A" w:rsidRDefault="00C6077A" w:rsidP="001865DA">
            <w:pPr>
              <w:spacing w:line="360" w:lineRule="auto"/>
              <w:jc w:val="center"/>
            </w:pPr>
            <w:r w:rsidRPr="00C6077A">
              <w:rPr>
                <w:bCs/>
              </w:rPr>
              <w:t>14.747,00</w:t>
            </w:r>
          </w:p>
        </w:tc>
        <w:tc>
          <w:tcPr>
            <w:tcW w:w="2410" w:type="dxa"/>
            <w:vAlign w:val="center"/>
          </w:tcPr>
          <w:p w14:paraId="02428F5C" w14:textId="3ECE29E2" w:rsidR="001865DA" w:rsidRPr="00C6077A" w:rsidRDefault="00C6077A" w:rsidP="001865DA">
            <w:pPr>
              <w:spacing w:line="360" w:lineRule="auto"/>
              <w:jc w:val="center"/>
            </w:pPr>
            <w:r w:rsidRPr="00C6077A">
              <w:rPr>
                <w:bCs/>
              </w:rPr>
              <w:t>15.299,25</w:t>
            </w:r>
          </w:p>
        </w:tc>
        <w:tc>
          <w:tcPr>
            <w:tcW w:w="1276" w:type="dxa"/>
            <w:vAlign w:val="center"/>
          </w:tcPr>
          <w:p w14:paraId="4E826867" w14:textId="26247083" w:rsidR="001865DA" w:rsidRPr="00C6077A" w:rsidRDefault="00C6077A" w:rsidP="001865DA">
            <w:pPr>
              <w:spacing w:line="360" w:lineRule="auto"/>
              <w:jc w:val="center"/>
            </w:pPr>
            <w:r w:rsidRPr="00C6077A">
              <w:t>103,74</w:t>
            </w:r>
          </w:p>
        </w:tc>
      </w:tr>
    </w:tbl>
    <w:p w14:paraId="122F81A4" w14:textId="6421819D" w:rsidR="007953B0" w:rsidRPr="00860C12" w:rsidRDefault="007953B0" w:rsidP="00A70E85">
      <w:pPr>
        <w:spacing w:before="240" w:line="360" w:lineRule="auto"/>
        <w:jc w:val="both"/>
        <w:rPr>
          <w:color w:val="FF0000"/>
        </w:rPr>
      </w:pPr>
    </w:p>
    <w:p w14:paraId="747640DE" w14:textId="27BC8578" w:rsidR="001865DA" w:rsidRPr="00860C12" w:rsidRDefault="001865DA" w:rsidP="00A70E85">
      <w:pPr>
        <w:spacing w:before="240" w:line="360" w:lineRule="auto"/>
        <w:jc w:val="both"/>
        <w:rPr>
          <w:color w:val="FF0000"/>
        </w:rPr>
      </w:pPr>
    </w:p>
    <w:p w14:paraId="06592157" w14:textId="49664821" w:rsidR="001865DA" w:rsidRPr="00860C12" w:rsidRDefault="001865DA" w:rsidP="00A70E85">
      <w:pPr>
        <w:spacing w:before="240" w:line="360" w:lineRule="auto"/>
        <w:jc w:val="both"/>
        <w:rPr>
          <w:color w:val="FF0000"/>
        </w:rPr>
      </w:pPr>
    </w:p>
    <w:p w14:paraId="73E9EE94" w14:textId="5AE1F036" w:rsidR="001865DA" w:rsidRPr="00860C12" w:rsidRDefault="001865DA" w:rsidP="00A70E85">
      <w:pPr>
        <w:spacing w:before="240" w:line="360" w:lineRule="auto"/>
        <w:jc w:val="both"/>
        <w:rPr>
          <w:color w:val="FF0000"/>
        </w:rPr>
      </w:pPr>
    </w:p>
    <w:p w14:paraId="28C93730" w14:textId="7099A378" w:rsidR="001865DA" w:rsidRPr="00860C12" w:rsidRDefault="001865DA" w:rsidP="00A70E85">
      <w:pPr>
        <w:spacing w:before="240" w:line="360" w:lineRule="auto"/>
        <w:jc w:val="both"/>
        <w:rPr>
          <w:color w:val="FF0000"/>
        </w:rPr>
      </w:pPr>
    </w:p>
    <w:p w14:paraId="4C909483" w14:textId="77777777" w:rsidR="00083069" w:rsidRDefault="00083069" w:rsidP="00A70E85">
      <w:pPr>
        <w:spacing w:before="240" w:line="360" w:lineRule="auto"/>
        <w:jc w:val="both"/>
        <w:rPr>
          <w:color w:val="FF0000"/>
        </w:rPr>
      </w:pPr>
      <w:bookmarkStart w:id="3" w:name="_Hlk161753238"/>
    </w:p>
    <w:p w14:paraId="5131E6DF" w14:textId="46DFAF6A" w:rsidR="00D64296" w:rsidRPr="00860C12" w:rsidRDefault="00D64296" w:rsidP="00083069">
      <w:pPr>
        <w:pBdr>
          <w:top w:val="dotted" w:sz="4" w:space="5" w:color="808080"/>
          <w:bottom w:val="dotted" w:sz="4" w:space="1" w:color="808080"/>
        </w:pBdr>
        <w:shd w:val="clear" w:color="auto" w:fill="BFBFBF" w:themeFill="background1" w:themeFillShade="BF"/>
        <w:spacing w:line="360" w:lineRule="auto"/>
        <w:jc w:val="both"/>
        <w:rPr>
          <w:rFonts w:eastAsia="Calibri"/>
          <w:b/>
        </w:rPr>
      </w:pPr>
      <w:r w:rsidRPr="00860C12">
        <w:rPr>
          <w:rFonts w:eastAsia="Calibri"/>
          <w:b/>
        </w:rPr>
        <w:t>A679071.018 ERAMCA-Procjena ekološkog rizika i ublažavanje imovine kulturne baštine u Srednjoj Aziji</w:t>
      </w:r>
    </w:p>
    <w:p w14:paraId="26D03F08" w14:textId="30D6040A" w:rsidR="00871EA9" w:rsidRDefault="00871EA9" w:rsidP="00A70E85">
      <w:pPr>
        <w:spacing w:line="360" w:lineRule="auto"/>
        <w:jc w:val="both"/>
      </w:pPr>
    </w:p>
    <w:p w14:paraId="26A03E7C" w14:textId="77777777" w:rsidR="009E1A2D" w:rsidRDefault="009E1A2D" w:rsidP="009E1A2D">
      <w:pPr>
        <w:spacing w:line="360" w:lineRule="auto"/>
        <w:jc w:val="both"/>
      </w:pPr>
      <w:r w:rsidRPr="00860C12">
        <w:t xml:space="preserve">Glavni cilj projekta je razvoj studijskih programa i osnivanje laboratorija u svrhu obrazovanja o očuvanju i zaštiti kulturno-povijesne graditeljske baštine na temelju europskih primjera i spoznaja. Projekt omogućava povezivanje i suradnju europskih s partnerskim sveučilištima u središnjoj Aziji (Uzbekistan i Tadžikistan). </w:t>
      </w:r>
    </w:p>
    <w:p w14:paraId="5D0AB3F3" w14:textId="0053270E" w:rsidR="006E2D4D" w:rsidRPr="00675A16" w:rsidRDefault="006E2D4D" w:rsidP="00A70E85">
      <w:pPr>
        <w:spacing w:line="360" w:lineRule="auto"/>
        <w:jc w:val="both"/>
      </w:pPr>
      <w:r w:rsidRPr="00675A16">
        <w:t>Ra</w:t>
      </w:r>
      <w:r w:rsidR="009E1A2D" w:rsidRPr="00675A16">
        <w:t>s</w:t>
      </w:r>
      <w:r w:rsidR="00675A16" w:rsidRPr="00675A16">
        <w:t xml:space="preserve">hode ove aktivnosti čine materijalni rashodi. Rashodi su </w:t>
      </w:r>
      <w:r w:rsidRPr="00675A16">
        <w:t>izvršeni u manjem iznosu od planiranih jer se nisu pro</w:t>
      </w:r>
      <w:r w:rsidR="009E1A2D" w:rsidRPr="00675A16">
        <w:t xml:space="preserve">vele sve planirane aktivnosti </w:t>
      </w:r>
      <w:r w:rsidRPr="00675A16">
        <w:t>projekt</w:t>
      </w:r>
      <w:r w:rsidR="009E1A2D" w:rsidRPr="00675A16">
        <w:t>a</w:t>
      </w:r>
      <w:r w:rsidRPr="00675A16">
        <w:t>.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ayout w:type="fixed"/>
        <w:tblLook w:val="04A0" w:firstRow="1" w:lastRow="0" w:firstColumn="1" w:lastColumn="0" w:noHBand="0" w:noVBand="1"/>
      </w:tblPr>
      <w:tblGrid>
        <w:gridCol w:w="2440"/>
        <w:gridCol w:w="1666"/>
        <w:gridCol w:w="2410"/>
        <w:gridCol w:w="992"/>
      </w:tblGrid>
      <w:tr w:rsidR="00083069" w:rsidRPr="00860C12" w14:paraId="693F0CEA" w14:textId="77777777" w:rsidTr="00083069">
        <w:trPr>
          <w:trHeight w:val="609"/>
        </w:trPr>
        <w:tc>
          <w:tcPr>
            <w:tcW w:w="2440" w:type="dxa"/>
            <w:shd w:val="clear" w:color="auto" w:fill="BFBFBF" w:themeFill="background1" w:themeFillShade="BF"/>
            <w:vAlign w:val="center"/>
          </w:tcPr>
          <w:bookmarkEnd w:id="3"/>
          <w:p w14:paraId="393035C8" w14:textId="77777777" w:rsidR="00083069" w:rsidRPr="00860C12" w:rsidRDefault="00083069" w:rsidP="00083069">
            <w:pPr>
              <w:spacing w:line="360" w:lineRule="auto"/>
              <w:jc w:val="center"/>
              <w:rPr>
                <w:b/>
                <w:color w:val="FF0000"/>
              </w:rPr>
            </w:pPr>
            <w:r w:rsidRPr="00C6077A">
              <w:rPr>
                <w:b/>
              </w:rPr>
              <w:t>Aktivnost</w:t>
            </w: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098BFEBE" w14:textId="77777777" w:rsidR="00083069" w:rsidRPr="00860C12" w:rsidRDefault="00083069" w:rsidP="00083069">
            <w:pPr>
              <w:spacing w:line="360" w:lineRule="auto"/>
              <w:jc w:val="center"/>
              <w:rPr>
                <w:b/>
                <w:color w:val="FF0000"/>
              </w:rPr>
            </w:pPr>
            <w:r w:rsidRPr="00C6077A">
              <w:rPr>
                <w:b/>
              </w:rPr>
              <w:t>Izvorni plan ili rebalans 2023.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AB884A1" w14:textId="77777777" w:rsidR="00083069" w:rsidRPr="00860C12" w:rsidRDefault="00083069" w:rsidP="00083069">
            <w:pPr>
              <w:spacing w:line="360" w:lineRule="auto"/>
              <w:jc w:val="center"/>
              <w:rPr>
                <w:color w:val="FF0000"/>
              </w:rPr>
            </w:pPr>
            <w:r w:rsidRPr="00C6077A">
              <w:rPr>
                <w:b/>
              </w:rPr>
              <w:t>Ostvarenje/izvršenje 2023.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3C50ADF" w14:textId="77777777" w:rsidR="00083069" w:rsidRPr="00860C12" w:rsidRDefault="00083069" w:rsidP="00083069">
            <w:pPr>
              <w:spacing w:line="360" w:lineRule="auto"/>
              <w:jc w:val="center"/>
              <w:rPr>
                <w:color w:val="FF0000"/>
              </w:rPr>
            </w:pPr>
            <w:r w:rsidRPr="00C6077A">
              <w:rPr>
                <w:b/>
              </w:rPr>
              <w:t>Indeks</w:t>
            </w:r>
          </w:p>
        </w:tc>
      </w:tr>
      <w:tr w:rsidR="00083069" w:rsidRPr="00860C12" w14:paraId="3B5E534B" w14:textId="77777777" w:rsidTr="00083069">
        <w:tc>
          <w:tcPr>
            <w:tcW w:w="2440" w:type="dxa"/>
          </w:tcPr>
          <w:p w14:paraId="32DF493F" w14:textId="77777777" w:rsidR="00083069" w:rsidRPr="00ED0C1D" w:rsidRDefault="00083069" w:rsidP="00083069">
            <w:pPr>
              <w:spacing w:line="360" w:lineRule="auto"/>
              <w:rPr>
                <w:sz w:val="20"/>
                <w:szCs w:val="20"/>
              </w:rPr>
            </w:pPr>
            <w:r w:rsidRPr="00ED0C1D">
              <w:rPr>
                <w:sz w:val="20"/>
                <w:szCs w:val="20"/>
              </w:rPr>
              <w:t>A679071.018</w:t>
            </w:r>
          </w:p>
          <w:p w14:paraId="3B09C05E" w14:textId="77777777" w:rsidR="00083069" w:rsidRPr="00860C12" w:rsidRDefault="00083069" w:rsidP="00083069">
            <w:pPr>
              <w:spacing w:line="360" w:lineRule="auto"/>
              <w:rPr>
                <w:color w:val="FF0000"/>
              </w:rPr>
            </w:pPr>
            <w:r w:rsidRPr="00ED0C1D">
              <w:rPr>
                <w:sz w:val="20"/>
                <w:szCs w:val="20"/>
              </w:rPr>
              <w:t>ERAMCA-Procjena ekološkog rizika i ublažavanje imovine kulturne baštine u Srednjoj Aziji</w:t>
            </w:r>
          </w:p>
        </w:tc>
        <w:tc>
          <w:tcPr>
            <w:tcW w:w="1666" w:type="dxa"/>
            <w:vAlign w:val="center"/>
          </w:tcPr>
          <w:p w14:paraId="00259EC2" w14:textId="77777777" w:rsidR="00083069" w:rsidRPr="00D7530A" w:rsidRDefault="00083069" w:rsidP="00083069">
            <w:pPr>
              <w:spacing w:line="360" w:lineRule="auto"/>
              <w:jc w:val="center"/>
            </w:pPr>
            <w:r w:rsidRPr="00D7530A">
              <w:t>12.520,00</w:t>
            </w:r>
          </w:p>
        </w:tc>
        <w:tc>
          <w:tcPr>
            <w:tcW w:w="2410" w:type="dxa"/>
            <w:vAlign w:val="center"/>
          </w:tcPr>
          <w:p w14:paraId="3E482C54" w14:textId="77777777" w:rsidR="00083069" w:rsidRPr="00D7530A" w:rsidRDefault="00083069" w:rsidP="00083069">
            <w:pPr>
              <w:spacing w:line="360" w:lineRule="auto"/>
              <w:jc w:val="center"/>
            </w:pPr>
            <w:r w:rsidRPr="00D7530A">
              <w:t>7.688,81</w:t>
            </w:r>
          </w:p>
        </w:tc>
        <w:tc>
          <w:tcPr>
            <w:tcW w:w="992" w:type="dxa"/>
            <w:vAlign w:val="center"/>
          </w:tcPr>
          <w:p w14:paraId="71D960AA" w14:textId="77777777" w:rsidR="00083069" w:rsidRPr="00D7530A" w:rsidRDefault="00083069" w:rsidP="00083069">
            <w:pPr>
              <w:spacing w:line="360" w:lineRule="auto"/>
              <w:jc w:val="center"/>
            </w:pPr>
            <w:r w:rsidRPr="00D7530A">
              <w:t>61,25</w:t>
            </w:r>
          </w:p>
        </w:tc>
      </w:tr>
    </w:tbl>
    <w:p w14:paraId="67567AFF" w14:textId="7C34731F" w:rsidR="001865DA" w:rsidRDefault="001865DA" w:rsidP="00A70E85">
      <w:pPr>
        <w:spacing w:line="360" w:lineRule="auto"/>
        <w:jc w:val="both"/>
      </w:pPr>
    </w:p>
    <w:p w14:paraId="033165F3" w14:textId="477E75F8" w:rsidR="00083069" w:rsidRDefault="00083069" w:rsidP="00A70E85">
      <w:pPr>
        <w:spacing w:line="360" w:lineRule="auto"/>
        <w:jc w:val="both"/>
      </w:pPr>
    </w:p>
    <w:p w14:paraId="598092CB" w14:textId="0BDC206C" w:rsidR="00083069" w:rsidRDefault="00083069" w:rsidP="00A70E85">
      <w:pPr>
        <w:spacing w:line="360" w:lineRule="auto"/>
        <w:jc w:val="both"/>
      </w:pPr>
    </w:p>
    <w:p w14:paraId="16D47B38" w14:textId="17F040DA" w:rsidR="00083069" w:rsidRDefault="00083069" w:rsidP="00A70E85">
      <w:pPr>
        <w:spacing w:line="360" w:lineRule="auto"/>
        <w:jc w:val="both"/>
      </w:pPr>
    </w:p>
    <w:p w14:paraId="76F496CD" w14:textId="77777777" w:rsidR="00083069" w:rsidRDefault="00083069" w:rsidP="00A70E85">
      <w:pPr>
        <w:spacing w:line="360" w:lineRule="auto"/>
        <w:jc w:val="both"/>
      </w:pPr>
    </w:p>
    <w:p w14:paraId="5453287A" w14:textId="3DE2E404" w:rsidR="00083069" w:rsidRDefault="00083069" w:rsidP="00A70E85">
      <w:pPr>
        <w:spacing w:line="360" w:lineRule="auto"/>
        <w:jc w:val="both"/>
      </w:pPr>
    </w:p>
    <w:p w14:paraId="44523742" w14:textId="5FE9A89B" w:rsidR="00083069" w:rsidRDefault="00083069" w:rsidP="00A70E85">
      <w:pPr>
        <w:spacing w:line="360" w:lineRule="auto"/>
        <w:jc w:val="both"/>
      </w:pPr>
    </w:p>
    <w:p w14:paraId="06725E8E" w14:textId="64CB7F21" w:rsidR="00083069" w:rsidRDefault="00083069" w:rsidP="00A70E85">
      <w:pPr>
        <w:spacing w:line="360" w:lineRule="auto"/>
        <w:jc w:val="both"/>
      </w:pPr>
    </w:p>
    <w:p w14:paraId="6DD8FAF7" w14:textId="369B2D0B" w:rsidR="00083069" w:rsidRDefault="00083069" w:rsidP="00A70E85">
      <w:pPr>
        <w:spacing w:line="360" w:lineRule="auto"/>
        <w:jc w:val="both"/>
      </w:pPr>
    </w:p>
    <w:p w14:paraId="7A1BDF20" w14:textId="77777777" w:rsidR="00D0257F" w:rsidRPr="00860C12" w:rsidRDefault="00D0257F" w:rsidP="00A70E85">
      <w:pPr>
        <w:spacing w:line="360" w:lineRule="auto"/>
        <w:jc w:val="both"/>
      </w:pPr>
    </w:p>
    <w:p w14:paraId="249F164A" w14:textId="48FBAAF2" w:rsidR="005B0355" w:rsidRPr="00860C12" w:rsidRDefault="005B0355" w:rsidP="00702242">
      <w:pPr>
        <w:pBdr>
          <w:top w:val="dotted" w:sz="4" w:space="1" w:color="808080"/>
          <w:bottom w:val="dotted" w:sz="4" w:space="1" w:color="808080"/>
        </w:pBdr>
        <w:shd w:val="clear" w:color="auto" w:fill="D9D9D9" w:themeFill="background1" w:themeFillShade="D9"/>
        <w:spacing w:line="360" w:lineRule="auto"/>
        <w:jc w:val="both"/>
      </w:pPr>
      <w:bookmarkStart w:id="4" w:name="_Hlk161753384"/>
      <w:r w:rsidRPr="00860C12">
        <w:rPr>
          <w:rFonts w:eastAsia="Calibri"/>
          <w:b/>
        </w:rPr>
        <w:t>A679071.073 Partnership for Virtual Laboratories in Civil Engineering - PARFORCE (pr. broj: 2020-1-DE01-KA226-HE-005783)</w:t>
      </w:r>
    </w:p>
    <w:p w14:paraId="0626E56F" w14:textId="3C5B1828" w:rsidR="005B0355" w:rsidRDefault="005B0355" w:rsidP="00A70E85">
      <w:pPr>
        <w:spacing w:line="360" w:lineRule="auto"/>
        <w:jc w:val="both"/>
        <w:rPr>
          <w:b/>
        </w:rPr>
      </w:pPr>
    </w:p>
    <w:p w14:paraId="66B2FEDF" w14:textId="11252AD2" w:rsidR="00675A16" w:rsidRPr="00675A16" w:rsidRDefault="009E1A2D" w:rsidP="00675A16">
      <w:pPr>
        <w:spacing w:line="360" w:lineRule="auto"/>
        <w:jc w:val="both"/>
      </w:pPr>
      <w:r w:rsidRPr="00860C12">
        <w:t xml:space="preserve">Glavni cilj projekta je postizanje dostupnosti različitih laboratorijskih eksperimenata koji nisu dio standardne nastave na svakom sveučilištu, već se provode na specijaliziranim institutima. </w:t>
      </w:r>
      <w:r w:rsidRPr="00860C12">
        <w:lastRenderedPageBreak/>
        <w:t>U tom kontekstu, virtualna stvarnost daje mogućnost studentima da virtualno sudjeluju u eksperimentima koji se provode na nekom drugom institutu, bez ugrožavanja realne postavke i sadržajne ispravnosti eksperimenta</w:t>
      </w:r>
      <w:r w:rsidR="00D425A1">
        <w:t xml:space="preserve">. </w:t>
      </w:r>
      <w:r w:rsidR="00675A16" w:rsidRPr="00675A16">
        <w:t>Rashode ove aktivnosti čine materijalni rashodi. Rashodi su izvršeni u manjem iznosu od planiranih jer se nisu provele sve planirane aktivnosti projekta.</w:t>
      </w:r>
    </w:p>
    <w:bookmarkEnd w:id="4"/>
    <w:p w14:paraId="0E14E2D1" w14:textId="77777777" w:rsidR="006E2D4D" w:rsidRPr="00860C12" w:rsidRDefault="006E2D4D" w:rsidP="00190056">
      <w:pPr>
        <w:spacing w:line="360" w:lineRule="auto"/>
        <w:jc w:val="both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40"/>
        <w:gridCol w:w="1666"/>
        <w:gridCol w:w="2410"/>
        <w:gridCol w:w="1134"/>
      </w:tblGrid>
      <w:tr w:rsidR="00ED0C1D" w:rsidRPr="00ED0C1D" w14:paraId="5899A4ED" w14:textId="77777777" w:rsidTr="00083069">
        <w:trPr>
          <w:trHeight w:val="585"/>
          <w:jc w:val="center"/>
        </w:trPr>
        <w:tc>
          <w:tcPr>
            <w:tcW w:w="2440" w:type="dxa"/>
            <w:shd w:val="clear" w:color="auto" w:fill="BFBFBF" w:themeFill="background1" w:themeFillShade="BF"/>
            <w:vAlign w:val="center"/>
          </w:tcPr>
          <w:p w14:paraId="020F03DF" w14:textId="47EF5C41" w:rsidR="00D7530A" w:rsidRPr="00ED0C1D" w:rsidRDefault="00D7530A" w:rsidP="00D7530A">
            <w:pPr>
              <w:spacing w:line="360" w:lineRule="auto"/>
              <w:jc w:val="center"/>
              <w:rPr>
                <w:b/>
              </w:rPr>
            </w:pPr>
            <w:r w:rsidRPr="00ED0C1D">
              <w:rPr>
                <w:b/>
              </w:rPr>
              <w:t>Aktivnost</w:t>
            </w: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4115E7F3" w14:textId="25A347C4" w:rsidR="00D7530A" w:rsidRPr="00ED0C1D" w:rsidRDefault="00D7530A" w:rsidP="00D7530A">
            <w:pPr>
              <w:spacing w:line="360" w:lineRule="auto"/>
              <w:jc w:val="center"/>
              <w:rPr>
                <w:b/>
              </w:rPr>
            </w:pPr>
            <w:r w:rsidRPr="00ED0C1D">
              <w:rPr>
                <w:b/>
              </w:rPr>
              <w:t>Izvorni plan ili rebalans 2023.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6B36BEC8" w14:textId="4EC3D3D1" w:rsidR="00D7530A" w:rsidRPr="00ED0C1D" w:rsidRDefault="00D7530A" w:rsidP="00D7530A">
            <w:pPr>
              <w:spacing w:line="360" w:lineRule="auto"/>
              <w:jc w:val="center"/>
            </w:pPr>
            <w:r w:rsidRPr="00ED0C1D">
              <w:rPr>
                <w:b/>
              </w:rPr>
              <w:t>Ostvarenje/izvršenje 2023.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4EF3A3A" w14:textId="5EB82B0A" w:rsidR="00D7530A" w:rsidRPr="00ED0C1D" w:rsidRDefault="00D7530A" w:rsidP="00D7530A">
            <w:pPr>
              <w:spacing w:line="360" w:lineRule="auto"/>
              <w:jc w:val="center"/>
            </w:pPr>
            <w:r w:rsidRPr="00ED0C1D">
              <w:rPr>
                <w:b/>
              </w:rPr>
              <w:t>Indeks</w:t>
            </w:r>
          </w:p>
        </w:tc>
      </w:tr>
      <w:tr w:rsidR="00ED0C1D" w:rsidRPr="00ED0C1D" w14:paraId="4509FB9A" w14:textId="77777777" w:rsidTr="00083069">
        <w:trPr>
          <w:trHeight w:val="1974"/>
          <w:jc w:val="center"/>
        </w:trPr>
        <w:tc>
          <w:tcPr>
            <w:tcW w:w="2440" w:type="dxa"/>
          </w:tcPr>
          <w:p w14:paraId="7B710D4A" w14:textId="77777777" w:rsidR="00043EFF" w:rsidRPr="00ED0C1D" w:rsidRDefault="00043EFF" w:rsidP="00A70E85">
            <w:pPr>
              <w:spacing w:line="360" w:lineRule="auto"/>
              <w:rPr>
                <w:sz w:val="20"/>
                <w:szCs w:val="20"/>
              </w:rPr>
            </w:pPr>
            <w:r w:rsidRPr="00ED0C1D">
              <w:rPr>
                <w:sz w:val="20"/>
                <w:szCs w:val="20"/>
              </w:rPr>
              <w:t>A679071.073</w:t>
            </w:r>
          </w:p>
          <w:p w14:paraId="058E071F" w14:textId="3FF7FFCC" w:rsidR="00043EFF" w:rsidRPr="00083069" w:rsidRDefault="00043EFF" w:rsidP="00A70E85">
            <w:pPr>
              <w:spacing w:line="360" w:lineRule="auto"/>
              <w:rPr>
                <w:sz w:val="20"/>
                <w:szCs w:val="20"/>
                <w:lang w:eastAsia="hr-HR"/>
              </w:rPr>
            </w:pPr>
            <w:r w:rsidRPr="00ED0C1D">
              <w:rPr>
                <w:sz w:val="20"/>
                <w:szCs w:val="20"/>
              </w:rPr>
              <w:t>Partnership for Virtual Laboratories in Civil Engineering - PARFORCE (pr. broj: 2020-1-DE01-KA226-HE-005783)</w:t>
            </w:r>
          </w:p>
        </w:tc>
        <w:tc>
          <w:tcPr>
            <w:tcW w:w="1666" w:type="dxa"/>
            <w:vAlign w:val="center"/>
          </w:tcPr>
          <w:p w14:paraId="34B3D9D9" w14:textId="747DF66B" w:rsidR="00043EFF" w:rsidRPr="00ED0C1D" w:rsidRDefault="00D7530A" w:rsidP="00A70E85">
            <w:pPr>
              <w:spacing w:line="360" w:lineRule="auto"/>
              <w:jc w:val="center"/>
            </w:pPr>
            <w:r w:rsidRPr="00ED0C1D">
              <w:rPr>
                <w:bCs/>
              </w:rPr>
              <w:t>15.001,00</w:t>
            </w:r>
          </w:p>
        </w:tc>
        <w:tc>
          <w:tcPr>
            <w:tcW w:w="2410" w:type="dxa"/>
            <w:vAlign w:val="center"/>
          </w:tcPr>
          <w:p w14:paraId="72B92C66" w14:textId="64DA8CA2" w:rsidR="00043EFF" w:rsidRPr="00ED0C1D" w:rsidRDefault="00D7530A" w:rsidP="00A70E85">
            <w:pPr>
              <w:spacing w:line="360" w:lineRule="auto"/>
              <w:jc w:val="center"/>
            </w:pPr>
            <w:r w:rsidRPr="00ED0C1D">
              <w:t>13.232,30</w:t>
            </w:r>
          </w:p>
        </w:tc>
        <w:tc>
          <w:tcPr>
            <w:tcW w:w="1134" w:type="dxa"/>
            <w:vAlign w:val="center"/>
          </w:tcPr>
          <w:p w14:paraId="44E94BB3" w14:textId="39AB80CE" w:rsidR="00043EFF" w:rsidRPr="00ED0C1D" w:rsidRDefault="00D7530A" w:rsidP="00A70E85">
            <w:pPr>
              <w:spacing w:line="360" w:lineRule="auto"/>
              <w:jc w:val="center"/>
            </w:pPr>
            <w:r w:rsidRPr="00ED0C1D">
              <w:t>88,21</w:t>
            </w:r>
          </w:p>
        </w:tc>
      </w:tr>
    </w:tbl>
    <w:p w14:paraId="12D3480F" w14:textId="77777777" w:rsidR="00226742" w:rsidRPr="00860C12" w:rsidRDefault="00226742" w:rsidP="00A70E85">
      <w:pPr>
        <w:spacing w:before="240" w:line="360" w:lineRule="auto"/>
        <w:jc w:val="both"/>
        <w:rPr>
          <w:color w:val="FF0000"/>
        </w:rPr>
      </w:pPr>
    </w:p>
    <w:p w14:paraId="50723509" w14:textId="02BD3C40" w:rsidR="00871EA9" w:rsidRPr="00860C12" w:rsidRDefault="00871EA9" w:rsidP="00A70E85">
      <w:pPr>
        <w:pBdr>
          <w:top w:val="dotted" w:sz="4" w:space="1" w:color="808080"/>
          <w:bottom w:val="dotted" w:sz="4" w:space="1" w:color="808080"/>
        </w:pBdr>
        <w:shd w:val="clear" w:color="auto" w:fill="BFBFBF" w:themeFill="background1" w:themeFillShade="BF"/>
        <w:tabs>
          <w:tab w:val="left" w:pos="2464"/>
        </w:tabs>
        <w:spacing w:line="360" w:lineRule="auto"/>
        <w:jc w:val="both"/>
        <w:rPr>
          <w:b/>
        </w:rPr>
      </w:pPr>
      <w:bookmarkStart w:id="5" w:name="_Hlk161753430"/>
      <w:r w:rsidRPr="00860C12">
        <w:rPr>
          <w:rFonts w:eastAsia="Calibri"/>
          <w:b/>
        </w:rPr>
        <w:t>A679071.085</w:t>
      </w:r>
      <w:r w:rsidR="00B646F2" w:rsidRPr="00860C12">
        <w:rPr>
          <w:rFonts w:eastAsia="Calibri"/>
          <w:b/>
        </w:rPr>
        <w:t xml:space="preserve"> </w:t>
      </w:r>
      <w:r w:rsidRPr="00860C12">
        <w:rPr>
          <w:b/>
        </w:rPr>
        <w:t>EYES HEARTS HANDS Urban Revolution</w:t>
      </w:r>
    </w:p>
    <w:bookmarkEnd w:id="5"/>
    <w:p w14:paraId="46A103A4" w14:textId="4FF31602" w:rsidR="002571C7" w:rsidRDefault="009E1A2D" w:rsidP="00A70E85">
      <w:pPr>
        <w:spacing w:before="240" w:line="360" w:lineRule="auto"/>
        <w:jc w:val="both"/>
      </w:pPr>
      <w:r w:rsidRPr="00860C12">
        <w:t>U sklopu poziva „Support the deployment of lighthouse demonstrators for the New European Bauhaus initiative in the context of Horizon Europe missions (HORIZON-MISS-2021-NEB-01)“ i u okviru projekta pružat će se potpora gradovima i ranjivim stanovnicima za preobrazbu izgrađenog okoliša</w:t>
      </w:r>
      <w:r w:rsidR="00D425A1">
        <w:t xml:space="preserve">. </w:t>
      </w:r>
      <w:r w:rsidR="00675A16" w:rsidRPr="00D0257F">
        <w:t>Rashodi ove aktivnosti obuhvaćaju rashode</w:t>
      </w:r>
      <w:r w:rsidR="006E2D4D" w:rsidRPr="00D0257F">
        <w:t xml:space="preserve"> za službena putovanja. Rashodi su izvršeni u manj</w:t>
      </w:r>
      <w:r w:rsidR="00675A16" w:rsidRPr="00D0257F">
        <w:t xml:space="preserve">em iznosu od planiranih jer se nabava stručne </w:t>
      </w:r>
      <w:r w:rsidR="006E2D4D" w:rsidRPr="00D0257F">
        <w:t>literature (knjiga)</w:t>
      </w:r>
      <w:r w:rsidR="00675A16" w:rsidRPr="00D0257F">
        <w:t xml:space="preserve"> nije izvršila u 2023. godini već će se</w:t>
      </w:r>
      <w:r w:rsidR="006E2D4D" w:rsidRPr="00D0257F">
        <w:t xml:space="preserve"> realizirati u 2024. godin</w:t>
      </w:r>
      <w:r w:rsidR="00CD4C78">
        <w:t>i</w:t>
      </w:r>
      <w:r w:rsidR="006E2D4D" w:rsidRPr="00D0257F">
        <w:t>.</w:t>
      </w:r>
    </w:p>
    <w:p w14:paraId="0F523A07" w14:textId="77777777" w:rsidR="00D425A1" w:rsidRPr="00D0257F" w:rsidRDefault="00D425A1" w:rsidP="00A70E85">
      <w:pPr>
        <w:spacing w:before="240" w:line="360" w:lineRule="auto"/>
        <w:jc w:val="both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99"/>
        <w:gridCol w:w="1524"/>
        <w:gridCol w:w="2409"/>
        <w:gridCol w:w="1169"/>
      </w:tblGrid>
      <w:tr w:rsidR="00D7530A" w:rsidRPr="00860C12" w14:paraId="7EDA209A" w14:textId="77777777" w:rsidTr="00083069">
        <w:trPr>
          <w:trHeight w:val="609"/>
          <w:jc w:val="center"/>
        </w:trPr>
        <w:tc>
          <w:tcPr>
            <w:tcW w:w="2299" w:type="dxa"/>
            <w:shd w:val="clear" w:color="auto" w:fill="BFBFBF" w:themeFill="background1" w:themeFillShade="BF"/>
            <w:vAlign w:val="center"/>
          </w:tcPr>
          <w:p w14:paraId="3501F914" w14:textId="4DC6CACA" w:rsidR="00D7530A" w:rsidRPr="00860C12" w:rsidRDefault="00D7530A" w:rsidP="00D7530A">
            <w:pPr>
              <w:spacing w:line="360" w:lineRule="auto"/>
              <w:jc w:val="center"/>
              <w:rPr>
                <w:b/>
                <w:color w:val="FF0000"/>
              </w:rPr>
            </w:pPr>
            <w:r w:rsidRPr="00C6077A">
              <w:rPr>
                <w:b/>
              </w:rPr>
              <w:t>Aktivnost</w:t>
            </w:r>
          </w:p>
        </w:tc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24F9ED04" w14:textId="6C5664F1" w:rsidR="00D7530A" w:rsidRPr="00860C12" w:rsidRDefault="00D7530A" w:rsidP="00D7530A">
            <w:pPr>
              <w:spacing w:line="360" w:lineRule="auto"/>
              <w:jc w:val="center"/>
              <w:rPr>
                <w:b/>
                <w:color w:val="FF0000"/>
              </w:rPr>
            </w:pPr>
            <w:r w:rsidRPr="00C6077A">
              <w:rPr>
                <w:b/>
              </w:rPr>
              <w:t>Izvorni plan ili rebalans 2023.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4B0D8444" w14:textId="3A0EC9D3" w:rsidR="00D7530A" w:rsidRPr="00860C12" w:rsidRDefault="00D7530A" w:rsidP="00D7530A">
            <w:pPr>
              <w:spacing w:line="360" w:lineRule="auto"/>
              <w:jc w:val="center"/>
              <w:rPr>
                <w:color w:val="FF0000"/>
              </w:rPr>
            </w:pPr>
            <w:r w:rsidRPr="00C6077A">
              <w:rPr>
                <w:b/>
              </w:rPr>
              <w:t>Ostvarenje/izvršenje 2023.</w:t>
            </w:r>
          </w:p>
        </w:tc>
        <w:tc>
          <w:tcPr>
            <w:tcW w:w="1169" w:type="dxa"/>
            <w:shd w:val="clear" w:color="auto" w:fill="BFBFBF" w:themeFill="background1" w:themeFillShade="BF"/>
            <w:vAlign w:val="center"/>
          </w:tcPr>
          <w:p w14:paraId="424C2953" w14:textId="0CE127E3" w:rsidR="00D7530A" w:rsidRPr="00860C12" w:rsidRDefault="00D7530A" w:rsidP="00D7530A">
            <w:pPr>
              <w:spacing w:line="360" w:lineRule="auto"/>
              <w:jc w:val="center"/>
              <w:rPr>
                <w:color w:val="FF0000"/>
              </w:rPr>
            </w:pPr>
            <w:r w:rsidRPr="00C6077A">
              <w:rPr>
                <w:b/>
              </w:rPr>
              <w:t>Indeks</w:t>
            </w:r>
          </w:p>
        </w:tc>
      </w:tr>
      <w:tr w:rsidR="00AC2006" w:rsidRPr="00860C12" w14:paraId="64FA7000" w14:textId="77777777" w:rsidTr="00083069">
        <w:trPr>
          <w:trHeight w:val="1071"/>
          <w:jc w:val="center"/>
        </w:trPr>
        <w:tc>
          <w:tcPr>
            <w:tcW w:w="2299" w:type="dxa"/>
          </w:tcPr>
          <w:p w14:paraId="20DE87A3" w14:textId="77777777" w:rsidR="00EC5424" w:rsidRPr="00ED0C1D" w:rsidRDefault="00EC5424" w:rsidP="00A70E85">
            <w:pPr>
              <w:spacing w:line="360" w:lineRule="auto"/>
              <w:rPr>
                <w:sz w:val="20"/>
                <w:szCs w:val="20"/>
              </w:rPr>
            </w:pPr>
          </w:p>
          <w:p w14:paraId="3FA60287" w14:textId="0CB5432B" w:rsidR="00043EFF" w:rsidRPr="00ED0C1D" w:rsidRDefault="00043EFF" w:rsidP="00A70E85">
            <w:pPr>
              <w:spacing w:line="360" w:lineRule="auto"/>
              <w:rPr>
                <w:sz w:val="20"/>
                <w:szCs w:val="20"/>
              </w:rPr>
            </w:pPr>
            <w:r w:rsidRPr="00ED0C1D">
              <w:rPr>
                <w:sz w:val="20"/>
                <w:szCs w:val="20"/>
              </w:rPr>
              <w:t>A679071.085</w:t>
            </w:r>
          </w:p>
          <w:p w14:paraId="54878D72" w14:textId="171E27A4" w:rsidR="00884256" w:rsidRPr="00D7530A" w:rsidRDefault="00043EFF" w:rsidP="00A70E85">
            <w:pPr>
              <w:spacing w:line="360" w:lineRule="auto"/>
              <w:rPr>
                <w:lang w:eastAsia="hr-HR"/>
              </w:rPr>
            </w:pPr>
            <w:r w:rsidRPr="00ED0C1D">
              <w:rPr>
                <w:sz w:val="20"/>
                <w:szCs w:val="20"/>
              </w:rPr>
              <w:t>EYES HEARTS HANDS Urban Revolution</w:t>
            </w:r>
          </w:p>
        </w:tc>
        <w:tc>
          <w:tcPr>
            <w:tcW w:w="1524" w:type="dxa"/>
            <w:vAlign w:val="center"/>
          </w:tcPr>
          <w:p w14:paraId="6F4A2F5E" w14:textId="4AB30872" w:rsidR="00884256" w:rsidRPr="00D7530A" w:rsidRDefault="00D7530A" w:rsidP="00A70E85">
            <w:pPr>
              <w:spacing w:line="360" w:lineRule="auto"/>
              <w:jc w:val="center"/>
            </w:pPr>
            <w:r w:rsidRPr="00D7530A">
              <w:t>2.081,00</w:t>
            </w:r>
          </w:p>
        </w:tc>
        <w:tc>
          <w:tcPr>
            <w:tcW w:w="2409" w:type="dxa"/>
            <w:vAlign w:val="center"/>
          </w:tcPr>
          <w:p w14:paraId="0C082B01" w14:textId="1B2E0877" w:rsidR="00884256" w:rsidRPr="00D7530A" w:rsidRDefault="00D7530A" w:rsidP="00A70E85">
            <w:pPr>
              <w:spacing w:line="360" w:lineRule="auto"/>
              <w:jc w:val="center"/>
            </w:pPr>
            <w:r w:rsidRPr="00D7530A">
              <w:t>1</w:t>
            </w:r>
            <w:r w:rsidR="00C8461E">
              <w:t>.</w:t>
            </w:r>
            <w:r w:rsidRPr="00D7530A">
              <w:t>080,96</w:t>
            </w:r>
          </w:p>
        </w:tc>
        <w:tc>
          <w:tcPr>
            <w:tcW w:w="1169" w:type="dxa"/>
            <w:vAlign w:val="center"/>
          </w:tcPr>
          <w:p w14:paraId="30667099" w14:textId="01A1F17A" w:rsidR="00884256" w:rsidRPr="00D7530A" w:rsidRDefault="00D7530A" w:rsidP="00A70E85">
            <w:pPr>
              <w:spacing w:line="360" w:lineRule="auto"/>
              <w:jc w:val="center"/>
            </w:pPr>
            <w:r w:rsidRPr="00D7530A">
              <w:t>51,94</w:t>
            </w:r>
          </w:p>
        </w:tc>
      </w:tr>
    </w:tbl>
    <w:p w14:paraId="757C140A" w14:textId="6088E007" w:rsidR="006E2D4D" w:rsidRDefault="006E2D4D" w:rsidP="00A70E85">
      <w:pPr>
        <w:spacing w:before="240" w:line="360" w:lineRule="auto"/>
        <w:jc w:val="both"/>
        <w:rPr>
          <w:color w:val="FF0000"/>
        </w:rPr>
      </w:pPr>
    </w:p>
    <w:p w14:paraId="7E07634D" w14:textId="77777777" w:rsidR="00D425A1" w:rsidRDefault="00D425A1" w:rsidP="00A70E85">
      <w:pPr>
        <w:spacing w:before="240" w:line="360" w:lineRule="auto"/>
        <w:jc w:val="both"/>
        <w:rPr>
          <w:color w:val="FF0000"/>
        </w:rPr>
      </w:pPr>
    </w:p>
    <w:p w14:paraId="7235EB71" w14:textId="389AD19C" w:rsidR="00D64296" w:rsidRPr="00860C12" w:rsidRDefault="00900BF2" w:rsidP="00A70E85">
      <w:pPr>
        <w:pBdr>
          <w:top w:val="dotted" w:sz="4" w:space="1" w:color="808080"/>
          <w:bottom w:val="dotted" w:sz="4" w:space="1" w:color="808080"/>
        </w:pBdr>
        <w:shd w:val="clear" w:color="auto" w:fill="BFBFBF" w:themeFill="background1" w:themeFillShade="BF"/>
        <w:spacing w:line="360" w:lineRule="auto"/>
        <w:jc w:val="both"/>
        <w:rPr>
          <w:b/>
        </w:rPr>
      </w:pPr>
      <w:bookmarkStart w:id="6" w:name="_Hlk152573205"/>
      <w:bookmarkStart w:id="7" w:name="_Hlk161753622"/>
      <w:r w:rsidRPr="00860C12">
        <w:rPr>
          <w:b/>
        </w:rPr>
        <w:lastRenderedPageBreak/>
        <w:t>A679071.086</w:t>
      </w:r>
      <w:r w:rsidR="00D64296" w:rsidRPr="00860C12">
        <w:rPr>
          <w:rFonts w:eastAsia="Calibri"/>
          <w:b/>
        </w:rPr>
        <w:t xml:space="preserve"> </w:t>
      </w:r>
      <w:bookmarkEnd w:id="6"/>
      <w:r w:rsidR="00D64296" w:rsidRPr="00860C12">
        <w:rPr>
          <w:b/>
        </w:rPr>
        <w:t>Documenting chardak house for preserving endangered wooden structure along Drava and Danube rivers in Croatia EWAP2010LG</w:t>
      </w:r>
    </w:p>
    <w:bookmarkEnd w:id="7"/>
    <w:p w14:paraId="62ADB932" w14:textId="77777777" w:rsidR="00D0257F" w:rsidRDefault="00D0257F" w:rsidP="00D0257F">
      <w:pPr>
        <w:spacing w:after="120" w:line="360" w:lineRule="auto"/>
      </w:pPr>
    </w:p>
    <w:p w14:paraId="334579DA" w14:textId="0F2519DC" w:rsidR="00976EE3" w:rsidRPr="00D0257F" w:rsidRDefault="009E1A2D" w:rsidP="00D0257F">
      <w:pPr>
        <w:spacing w:after="120" w:line="360" w:lineRule="auto"/>
        <w:jc w:val="both"/>
      </w:pPr>
      <w:r w:rsidRPr="00D0257F">
        <w:t>Glavni cilj projekta jest provesti znanstveno-istraživačke aktivnosti u svrhu mapiranja, klasificiranja i dokumentiranja čardaka u tri županije uz Dravu i Dunav. Planirano je dokumentiranje oko 450 čardaka u 45 sela Koprivničko-križevačke, Virovitičko-podravske i Osječko-baranjske županije</w:t>
      </w:r>
      <w:r w:rsidR="00D425A1">
        <w:t xml:space="preserve">. </w:t>
      </w:r>
      <w:r w:rsidRPr="00D0257F">
        <w:t xml:space="preserve">Projekt je započeo u prosincu 2023. godine. </w:t>
      </w:r>
      <w:r w:rsidR="006E2D4D" w:rsidRPr="00D0257F">
        <w:t>Rashodi ove aktivnosti čine rashodi za službena putovanja i organizaciju radionice</w:t>
      </w:r>
      <w:r w:rsidRPr="00D0257F">
        <w:t xml:space="preserve">, </w:t>
      </w:r>
      <w:r w:rsidR="006E2D4D" w:rsidRPr="00D0257F">
        <w:t xml:space="preserve"> aktivnosti projekta</w:t>
      </w:r>
      <w:r w:rsidRPr="00D0257F">
        <w:t xml:space="preserve"> će se provoditi tijekom 2024. i 2025. godine.</w:t>
      </w:r>
    </w:p>
    <w:tbl>
      <w:tblPr>
        <w:tblStyle w:val="TableGrid"/>
        <w:tblpPr w:leftFromText="180" w:rightFromText="180" w:vertAnchor="text" w:horzAnchor="margin" w:tblpXSpec="center" w:tblpY="90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2410"/>
        <w:gridCol w:w="1276"/>
      </w:tblGrid>
      <w:tr w:rsidR="00D7530A" w:rsidRPr="00860C12" w14:paraId="66C436A4" w14:textId="77777777" w:rsidTr="00083069">
        <w:trPr>
          <w:trHeight w:val="690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2A561834" w14:textId="4469BBCD" w:rsidR="00D7530A" w:rsidRPr="00860C12" w:rsidRDefault="00D7530A" w:rsidP="00D7530A">
            <w:pPr>
              <w:spacing w:line="360" w:lineRule="auto"/>
              <w:jc w:val="center"/>
              <w:rPr>
                <w:b/>
                <w:color w:val="FF0000"/>
              </w:rPr>
            </w:pPr>
            <w:r w:rsidRPr="00C6077A">
              <w:rPr>
                <w:b/>
              </w:rPr>
              <w:t>Aktivnost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3EB4C3F" w14:textId="3DD97E28" w:rsidR="00D7530A" w:rsidRPr="00860C12" w:rsidRDefault="00D7530A" w:rsidP="00D7530A">
            <w:pPr>
              <w:spacing w:line="360" w:lineRule="auto"/>
              <w:jc w:val="center"/>
              <w:rPr>
                <w:b/>
                <w:color w:val="FF0000"/>
              </w:rPr>
            </w:pPr>
            <w:r w:rsidRPr="00C6077A">
              <w:rPr>
                <w:b/>
              </w:rPr>
              <w:t>Izvorni plan ili rebalans 2023.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34D8E00F" w14:textId="5F212774" w:rsidR="00D7530A" w:rsidRPr="00860C12" w:rsidRDefault="00D7530A" w:rsidP="00D7530A">
            <w:pPr>
              <w:spacing w:line="360" w:lineRule="auto"/>
              <w:jc w:val="center"/>
              <w:rPr>
                <w:color w:val="FF0000"/>
              </w:rPr>
            </w:pPr>
            <w:r w:rsidRPr="00C6077A">
              <w:rPr>
                <w:b/>
              </w:rPr>
              <w:t>Ostvarenje/izvršenje 2023.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F186AC0" w14:textId="35B9DD3F" w:rsidR="00D7530A" w:rsidRPr="00860C12" w:rsidRDefault="00D7530A" w:rsidP="00D7530A">
            <w:pPr>
              <w:spacing w:line="360" w:lineRule="auto"/>
              <w:jc w:val="center"/>
              <w:rPr>
                <w:color w:val="FF0000"/>
              </w:rPr>
            </w:pPr>
            <w:r w:rsidRPr="00C6077A">
              <w:rPr>
                <w:b/>
              </w:rPr>
              <w:t>Indeks</w:t>
            </w:r>
          </w:p>
        </w:tc>
      </w:tr>
      <w:tr w:rsidR="00AC2006" w:rsidRPr="00860C12" w14:paraId="2D7B6282" w14:textId="77777777" w:rsidTr="00083069">
        <w:trPr>
          <w:trHeight w:val="1946"/>
        </w:trPr>
        <w:tc>
          <w:tcPr>
            <w:tcW w:w="2830" w:type="dxa"/>
          </w:tcPr>
          <w:p w14:paraId="10712B31" w14:textId="77777777" w:rsidR="00613CD1" w:rsidRPr="00ED0C1D" w:rsidRDefault="00613CD1" w:rsidP="00DD2316">
            <w:pPr>
              <w:spacing w:line="360" w:lineRule="auto"/>
              <w:rPr>
                <w:sz w:val="20"/>
                <w:szCs w:val="20"/>
              </w:rPr>
            </w:pPr>
            <w:r w:rsidRPr="00ED0C1D">
              <w:rPr>
                <w:sz w:val="20"/>
                <w:szCs w:val="20"/>
              </w:rPr>
              <w:t>A679071.086 Documenting chardak house for preserving endangered wooden structure along Drava and Danube rivers in Croatia EWAP2010LG</w:t>
            </w:r>
          </w:p>
        </w:tc>
        <w:tc>
          <w:tcPr>
            <w:tcW w:w="1701" w:type="dxa"/>
            <w:vAlign w:val="center"/>
          </w:tcPr>
          <w:p w14:paraId="6092A2B5" w14:textId="62114017" w:rsidR="00613CD1" w:rsidRPr="00675A16" w:rsidRDefault="00D7530A" w:rsidP="00D7530A">
            <w:pPr>
              <w:spacing w:line="360" w:lineRule="auto"/>
              <w:jc w:val="center"/>
            </w:pPr>
            <w:r w:rsidRPr="00675A16">
              <w:t>3.029,00</w:t>
            </w:r>
          </w:p>
        </w:tc>
        <w:tc>
          <w:tcPr>
            <w:tcW w:w="2410" w:type="dxa"/>
            <w:vAlign w:val="center"/>
          </w:tcPr>
          <w:p w14:paraId="7478E486" w14:textId="49C0CB73" w:rsidR="00613CD1" w:rsidRPr="00675A16" w:rsidRDefault="00D7530A" w:rsidP="00D7530A">
            <w:pPr>
              <w:spacing w:line="360" w:lineRule="auto"/>
              <w:jc w:val="center"/>
            </w:pPr>
            <w:r w:rsidRPr="00675A16">
              <w:t>912,97</w:t>
            </w:r>
          </w:p>
        </w:tc>
        <w:tc>
          <w:tcPr>
            <w:tcW w:w="1276" w:type="dxa"/>
            <w:vAlign w:val="center"/>
          </w:tcPr>
          <w:p w14:paraId="5CE3E2A9" w14:textId="658A2A1C" w:rsidR="00613CD1" w:rsidRPr="00675A16" w:rsidRDefault="00D7530A" w:rsidP="00D7530A">
            <w:pPr>
              <w:spacing w:line="360" w:lineRule="auto"/>
              <w:jc w:val="center"/>
            </w:pPr>
            <w:r w:rsidRPr="00675A16">
              <w:t>30,14</w:t>
            </w:r>
          </w:p>
        </w:tc>
      </w:tr>
    </w:tbl>
    <w:p w14:paraId="77A63D46" w14:textId="0EDEFCE7" w:rsidR="00613CD1" w:rsidRPr="00860C12" w:rsidRDefault="00613CD1" w:rsidP="00613CD1">
      <w:pPr>
        <w:spacing w:after="120" w:line="360" w:lineRule="auto"/>
      </w:pPr>
      <w:bookmarkStart w:id="8" w:name="_Hlk161753804"/>
    </w:p>
    <w:p w14:paraId="3741A0F1" w14:textId="178CE82C" w:rsidR="00D64296" w:rsidRPr="00860C12" w:rsidRDefault="003826C9" w:rsidP="00A70E85">
      <w:pPr>
        <w:pBdr>
          <w:top w:val="dotted" w:sz="4" w:space="0" w:color="808080"/>
          <w:bottom w:val="dotted" w:sz="4" w:space="1" w:color="808080"/>
        </w:pBdr>
        <w:shd w:val="clear" w:color="auto" w:fill="BFBFBF" w:themeFill="background1" w:themeFillShade="BF"/>
        <w:spacing w:line="360" w:lineRule="auto"/>
        <w:jc w:val="both"/>
      </w:pPr>
      <w:bookmarkStart w:id="9" w:name="_Hlk152573325"/>
      <w:r w:rsidRPr="00860C12">
        <w:rPr>
          <w:rFonts w:eastAsia="Calibri"/>
          <w:b/>
        </w:rPr>
        <w:t>A679071.087</w:t>
      </w:r>
      <w:bookmarkEnd w:id="9"/>
      <w:r w:rsidRPr="00860C12">
        <w:rPr>
          <w:rFonts w:eastAsia="Calibri"/>
          <w:b/>
        </w:rPr>
        <w:t xml:space="preserve"> </w:t>
      </w:r>
      <w:r w:rsidR="00D64296" w:rsidRPr="00860C12">
        <w:rPr>
          <w:rFonts w:eastAsia="Calibri"/>
          <w:b/>
        </w:rPr>
        <w:t>Sinergija primjene inteligentnih metoda u procjeni ponašanja zgrada, elemenata i materijala i inovativna uporaba recikliranih građevinskih materijala zasnovana na eksperimentalnim i novim pristupima za uspostavu održivog životnog prostora - IM4StEM (pr. broj: 2023-1-HR01-KA220-HED-000165929)</w:t>
      </w:r>
    </w:p>
    <w:p w14:paraId="502524AA" w14:textId="77777777" w:rsidR="00EC5424" w:rsidRPr="00860C12" w:rsidRDefault="00EC5424" w:rsidP="00A70E85">
      <w:pPr>
        <w:spacing w:line="360" w:lineRule="auto"/>
        <w:jc w:val="both"/>
        <w:rPr>
          <w:b/>
        </w:rPr>
      </w:pPr>
    </w:p>
    <w:p w14:paraId="67302EF5" w14:textId="1DBF6FFB" w:rsidR="00793F21" w:rsidRDefault="009E1A2D" w:rsidP="005C5306">
      <w:pPr>
        <w:spacing w:line="360" w:lineRule="auto"/>
        <w:jc w:val="both"/>
      </w:pPr>
      <w:r>
        <w:t xml:space="preserve">Cilj projekta je </w:t>
      </w:r>
      <w:r w:rsidRPr="00860C12">
        <w:t>osnažiti postojeće i izgraditi nove kapacitete multidisciplinarnom suradnjom u radu, istraživanju i nastavi u cilju obrazovanja za održivi razvoj kroz multidisciplinarno okupljanje međunarodnih stručnjaka i studenata u području inženjerstva iz građevinskog sektora te računarstva i informacijskih tehnologija (STEM). Jedan od rezultata projekta je svima dostupna web platforma s online bazom podataka o stanju zgrada, elemenata i materijala, koja će imati dovoljno veliku količinu podataka na kojoj će se moći primijeniti metode strojnog učenja (ML).</w:t>
      </w:r>
      <w:r w:rsidR="005C5306">
        <w:t xml:space="preserve"> </w:t>
      </w:r>
      <w:r w:rsidR="00793F21">
        <w:t>Rashodi ove aktivnosti obuhvaćaju rashode za službena putovanja, rashode za izradu WEB stranice, rashode reprezentacije te prijenose sredstava partnerima na projektu.</w:t>
      </w:r>
    </w:p>
    <w:bookmarkEnd w:id="8"/>
    <w:p w14:paraId="34EA20A0" w14:textId="1B8C084B" w:rsidR="00A70E85" w:rsidRPr="00860C12" w:rsidRDefault="00A70E85" w:rsidP="00A70E85">
      <w:pPr>
        <w:spacing w:line="360" w:lineRule="auto"/>
        <w:jc w:val="both"/>
        <w:rPr>
          <w:color w:val="FF000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99"/>
        <w:gridCol w:w="1665"/>
        <w:gridCol w:w="2410"/>
        <w:gridCol w:w="1418"/>
      </w:tblGrid>
      <w:tr w:rsidR="00D7530A" w:rsidRPr="00860C12" w14:paraId="47B6E7B9" w14:textId="77777777" w:rsidTr="00083069">
        <w:trPr>
          <w:trHeight w:val="708"/>
          <w:jc w:val="center"/>
        </w:trPr>
        <w:tc>
          <w:tcPr>
            <w:tcW w:w="2299" w:type="dxa"/>
            <w:shd w:val="clear" w:color="auto" w:fill="BFBFBF" w:themeFill="background1" w:themeFillShade="BF"/>
            <w:vAlign w:val="center"/>
          </w:tcPr>
          <w:p w14:paraId="0F7BBA9A" w14:textId="77777777" w:rsidR="00D7530A" w:rsidRPr="00D7530A" w:rsidRDefault="00D7530A" w:rsidP="00D7530A">
            <w:pPr>
              <w:spacing w:line="360" w:lineRule="auto"/>
              <w:jc w:val="center"/>
              <w:rPr>
                <w:b/>
              </w:rPr>
            </w:pPr>
            <w:r w:rsidRPr="00D7530A">
              <w:rPr>
                <w:b/>
              </w:rPr>
              <w:lastRenderedPageBreak/>
              <w:t>Aktivnost</w:t>
            </w:r>
          </w:p>
        </w:tc>
        <w:tc>
          <w:tcPr>
            <w:tcW w:w="1665" w:type="dxa"/>
            <w:shd w:val="clear" w:color="auto" w:fill="BFBFBF" w:themeFill="background1" w:themeFillShade="BF"/>
            <w:vAlign w:val="center"/>
          </w:tcPr>
          <w:p w14:paraId="18B26A0F" w14:textId="5252CEF7" w:rsidR="00D7530A" w:rsidRPr="00D7530A" w:rsidRDefault="00D7530A" w:rsidP="00D7530A">
            <w:pPr>
              <w:spacing w:line="360" w:lineRule="auto"/>
              <w:jc w:val="center"/>
              <w:rPr>
                <w:b/>
              </w:rPr>
            </w:pPr>
            <w:r w:rsidRPr="00D7530A">
              <w:rPr>
                <w:b/>
              </w:rPr>
              <w:t>Izvorni plan ili rebalans 2023.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F9B7933" w14:textId="61A11CE5" w:rsidR="00D7530A" w:rsidRPr="00D7530A" w:rsidRDefault="00D7530A" w:rsidP="00D7530A">
            <w:pPr>
              <w:spacing w:line="360" w:lineRule="auto"/>
              <w:jc w:val="center"/>
            </w:pPr>
            <w:r w:rsidRPr="00D7530A">
              <w:rPr>
                <w:b/>
              </w:rPr>
              <w:t>Ostvarenje/izvršenje 2023.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A855266" w14:textId="7958D897" w:rsidR="00D7530A" w:rsidRPr="00D7530A" w:rsidRDefault="00D7530A" w:rsidP="00D7530A">
            <w:pPr>
              <w:spacing w:line="360" w:lineRule="auto"/>
              <w:jc w:val="center"/>
            </w:pPr>
            <w:r w:rsidRPr="00D7530A">
              <w:rPr>
                <w:b/>
              </w:rPr>
              <w:t>Indeks</w:t>
            </w:r>
          </w:p>
        </w:tc>
      </w:tr>
      <w:tr w:rsidR="00AC2006" w:rsidRPr="00860C12" w14:paraId="658A0864" w14:textId="77777777" w:rsidTr="00083069">
        <w:trPr>
          <w:trHeight w:val="1275"/>
          <w:jc w:val="center"/>
        </w:trPr>
        <w:tc>
          <w:tcPr>
            <w:tcW w:w="2299" w:type="dxa"/>
          </w:tcPr>
          <w:p w14:paraId="4EE487C9" w14:textId="77777777" w:rsidR="00613CD1" w:rsidRPr="00D7530A" w:rsidRDefault="00613CD1" w:rsidP="00DD2316">
            <w:pPr>
              <w:spacing w:line="360" w:lineRule="auto"/>
            </w:pPr>
          </w:p>
          <w:p w14:paraId="303A1338" w14:textId="77777777" w:rsidR="00613CD1" w:rsidRPr="005C5306" w:rsidRDefault="00613CD1" w:rsidP="00DD2316">
            <w:pPr>
              <w:spacing w:line="360" w:lineRule="auto"/>
              <w:rPr>
                <w:sz w:val="20"/>
                <w:szCs w:val="20"/>
              </w:rPr>
            </w:pPr>
            <w:r w:rsidRPr="005C5306">
              <w:rPr>
                <w:sz w:val="20"/>
                <w:szCs w:val="20"/>
              </w:rPr>
              <w:t xml:space="preserve">A679071.087 </w:t>
            </w:r>
          </w:p>
          <w:p w14:paraId="3F002615" w14:textId="77777777" w:rsidR="00613CD1" w:rsidRPr="005C5306" w:rsidRDefault="00613CD1" w:rsidP="00DD2316">
            <w:pPr>
              <w:spacing w:line="360" w:lineRule="auto"/>
              <w:rPr>
                <w:sz w:val="20"/>
                <w:szCs w:val="20"/>
              </w:rPr>
            </w:pPr>
            <w:r w:rsidRPr="005C5306">
              <w:rPr>
                <w:sz w:val="20"/>
                <w:szCs w:val="20"/>
              </w:rPr>
              <w:t>Intelligent Methods for Structures, Elements and Materials</w:t>
            </w:r>
          </w:p>
          <w:p w14:paraId="03C1CC33" w14:textId="77777777" w:rsidR="00613CD1" w:rsidRPr="00D7530A" w:rsidRDefault="00613CD1" w:rsidP="00DD2316">
            <w:pPr>
              <w:spacing w:line="360" w:lineRule="auto"/>
            </w:pPr>
          </w:p>
        </w:tc>
        <w:tc>
          <w:tcPr>
            <w:tcW w:w="1665" w:type="dxa"/>
            <w:vAlign w:val="center"/>
          </w:tcPr>
          <w:p w14:paraId="3CC36877" w14:textId="5FB7AE56" w:rsidR="00613CD1" w:rsidRPr="00D7530A" w:rsidRDefault="00D7530A" w:rsidP="00DD2316">
            <w:pPr>
              <w:spacing w:line="360" w:lineRule="auto"/>
              <w:jc w:val="center"/>
            </w:pPr>
            <w:r w:rsidRPr="00D7530A">
              <w:rPr>
                <w:bCs/>
              </w:rPr>
              <w:t>150.696,00</w:t>
            </w:r>
          </w:p>
        </w:tc>
        <w:tc>
          <w:tcPr>
            <w:tcW w:w="2410" w:type="dxa"/>
            <w:vAlign w:val="center"/>
          </w:tcPr>
          <w:p w14:paraId="2F8B6FF4" w14:textId="26CCE422" w:rsidR="00613CD1" w:rsidRPr="00D7530A" w:rsidRDefault="00D7530A" w:rsidP="00DD2316">
            <w:pPr>
              <w:spacing w:line="360" w:lineRule="auto"/>
              <w:jc w:val="center"/>
            </w:pPr>
            <w:r>
              <w:rPr>
                <w:bCs/>
              </w:rPr>
              <w:t>94.280,58</w:t>
            </w:r>
          </w:p>
        </w:tc>
        <w:tc>
          <w:tcPr>
            <w:tcW w:w="1418" w:type="dxa"/>
            <w:vAlign w:val="center"/>
          </w:tcPr>
          <w:p w14:paraId="1352AB80" w14:textId="1607A6E4" w:rsidR="00613CD1" w:rsidRPr="00D7530A" w:rsidRDefault="00D7530A" w:rsidP="00DD2316">
            <w:pPr>
              <w:spacing w:line="360" w:lineRule="auto"/>
              <w:jc w:val="center"/>
            </w:pPr>
            <w:r>
              <w:t>62,56</w:t>
            </w:r>
          </w:p>
        </w:tc>
      </w:tr>
    </w:tbl>
    <w:p w14:paraId="54AB34EE" w14:textId="06F8EC10" w:rsidR="00613CD1" w:rsidRPr="00860C12" w:rsidRDefault="00613CD1" w:rsidP="00A70E85">
      <w:pPr>
        <w:spacing w:line="360" w:lineRule="auto"/>
        <w:jc w:val="both"/>
        <w:rPr>
          <w:color w:val="FF0000"/>
        </w:rPr>
      </w:pPr>
    </w:p>
    <w:p w14:paraId="7B4FB761" w14:textId="77777777" w:rsidR="00190056" w:rsidRPr="00860C12" w:rsidRDefault="00190056" w:rsidP="00A70E85">
      <w:pPr>
        <w:spacing w:line="360" w:lineRule="auto"/>
        <w:jc w:val="both"/>
        <w:rPr>
          <w:color w:val="FF0000"/>
        </w:rPr>
      </w:pPr>
    </w:p>
    <w:p w14:paraId="37820DDD" w14:textId="038F64E1" w:rsidR="00B2028B" w:rsidRPr="00736B26" w:rsidRDefault="00323875" w:rsidP="00736B26">
      <w:pPr>
        <w:pBdr>
          <w:top w:val="dotted" w:sz="4" w:space="1" w:color="808080"/>
          <w:bottom w:val="dotted" w:sz="4" w:space="1" w:color="808080"/>
        </w:pBdr>
        <w:shd w:val="clear" w:color="auto" w:fill="BFBFBF" w:themeFill="background1" w:themeFillShade="BF"/>
        <w:spacing w:line="360" w:lineRule="auto"/>
        <w:jc w:val="both"/>
        <w:rPr>
          <w:rFonts w:eastAsia="Calibri"/>
          <w:b/>
        </w:rPr>
      </w:pPr>
      <w:bookmarkStart w:id="10" w:name="_Hlk161755022"/>
      <w:r w:rsidRPr="00860C12">
        <w:rPr>
          <w:rFonts w:eastAsia="Calibri"/>
          <w:b/>
        </w:rPr>
        <w:t xml:space="preserve">A679071.071 </w:t>
      </w:r>
      <w:r w:rsidR="00B2028B" w:rsidRPr="00860C12">
        <w:rPr>
          <w:rFonts w:eastAsia="Calibri"/>
          <w:b/>
        </w:rPr>
        <w:t>Istraživanje i razvoj inovativnih drvnih zidnih obloga, pregradnih i nosivih zidova za održivu gradnju u poduzeću Spačva d.d. KK.01.2.1.02</w:t>
      </w:r>
    </w:p>
    <w:p w14:paraId="42D97F9E" w14:textId="77777777" w:rsidR="005C5306" w:rsidRDefault="005C5306" w:rsidP="00D0257F">
      <w:pPr>
        <w:spacing w:after="120" w:line="360" w:lineRule="auto"/>
        <w:jc w:val="both"/>
      </w:pPr>
    </w:p>
    <w:p w14:paraId="00DCEA9F" w14:textId="359F7F0A" w:rsidR="00736B26" w:rsidRPr="00736B26" w:rsidRDefault="009E1A2D" w:rsidP="00D0257F">
      <w:pPr>
        <w:spacing w:after="120" w:line="360" w:lineRule="auto"/>
        <w:jc w:val="both"/>
      </w:pPr>
      <w:r w:rsidRPr="00860C12">
        <w:t>Glavni cilj projekta jest provesti znanstveno-istraživačke aktivnosti u svrhu razvoja inovativnih drvenih zidnih obloga, pregradnih i nosivih zidova za održivu gradnju. Projekt će ostvariti doprinos tematskom prioritetnom području energija i održivi okoliš, kao i tematskom prioritetnom području hrana i bioekonomija</w:t>
      </w:r>
      <w:r w:rsidR="005C5306">
        <w:t xml:space="preserve">. </w:t>
      </w:r>
      <w:r w:rsidR="00736B26">
        <w:t xml:space="preserve">Rashodi ove aktivnosti obuhvaćaju rashode za plaće i prijevoz zaposlenih na projektu te rashode za objavu </w:t>
      </w:r>
      <w:r w:rsidR="005C5306">
        <w:t xml:space="preserve">znanstvenih </w:t>
      </w:r>
      <w:r w:rsidR="00736B26">
        <w:t>rad</w:t>
      </w:r>
      <w:r w:rsidR="005C5306">
        <w:t>ova</w:t>
      </w:r>
      <w:r w:rsidR="00736B26">
        <w:t>.</w:t>
      </w:r>
    </w:p>
    <w:p w14:paraId="229C79E6" w14:textId="77777777" w:rsidR="00736B26" w:rsidRPr="00860C12" w:rsidRDefault="00736B26" w:rsidP="00736B26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417"/>
        <w:gridCol w:w="1276"/>
      </w:tblGrid>
      <w:tr w:rsidR="00FF5BC0" w:rsidRPr="00860C12" w14:paraId="1A60FD04" w14:textId="77777777" w:rsidTr="00D0257F">
        <w:trPr>
          <w:trHeight w:val="609"/>
          <w:jc w:val="center"/>
        </w:trPr>
        <w:tc>
          <w:tcPr>
            <w:tcW w:w="3681" w:type="dxa"/>
            <w:shd w:val="clear" w:color="auto" w:fill="BFBFBF" w:themeFill="background1" w:themeFillShade="BF"/>
            <w:vAlign w:val="center"/>
          </w:tcPr>
          <w:bookmarkEnd w:id="10"/>
          <w:p w14:paraId="51C197F6" w14:textId="77777777" w:rsidR="00FF5BC0" w:rsidRPr="00860C12" w:rsidRDefault="00FF5BC0" w:rsidP="00B96541">
            <w:pPr>
              <w:spacing w:line="360" w:lineRule="auto"/>
              <w:jc w:val="center"/>
              <w:rPr>
                <w:b/>
                <w:color w:val="FF0000"/>
              </w:rPr>
            </w:pPr>
            <w:r w:rsidRPr="00C6077A">
              <w:rPr>
                <w:b/>
              </w:rPr>
              <w:t>Aktivnost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AEF919C" w14:textId="77777777" w:rsidR="00FF5BC0" w:rsidRPr="00860C12" w:rsidRDefault="00FF5BC0" w:rsidP="00B96541">
            <w:pPr>
              <w:spacing w:line="360" w:lineRule="auto"/>
              <w:jc w:val="center"/>
              <w:rPr>
                <w:b/>
                <w:color w:val="FF0000"/>
              </w:rPr>
            </w:pPr>
            <w:r w:rsidRPr="00C6077A">
              <w:rPr>
                <w:b/>
              </w:rPr>
              <w:t>Izvorni plan ili rebalans 2023.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3B1CDF6" w14:textId="77777777" w:rsidR="00FF5BC0" w:rsidRPr="00860C12" w:rsidRDefault="00FF5BC0" w:rsidP="00B96541">
            <w:pPr>
              <w:spacing w:line="360" w:lineRule="auto"/>
              <w:jc w:val="center"/>
              <w:rPr>
                <w:color w:val="FF0000"/>
              </w:rPr>
            </w:pPr>
            <w:r w:rsidRPr="00C6077A">
              <w:rPr>
                <w:b/>
              </w:rPr>
              <w:t>Ostvarenje/izvršenje 2023.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7372A5C" w14:textId="77777777" w:rsidR="00FF5BC0" w:rsidRPr="00860C12" w:rsidRDefault="00FF5BC0" w:rsidP="00B96541">
            <w:pPr>
              <w:spacing w:line="360" w:lineRule="auto"/>
              <w:jc w:val="center"/>
              <w:rPr>
                <w:color w:val="FF0000"/>
              </w:rPr>
            </w:pPr>
            <w:r w:rsidRPr="00C6077A">
              <w:rPr>
                <w:b/>
              </w:rPr>
              <w:t>Indeks</w:t>
            </w:r>
          </w:p>
        </w:tc>
      </w:tr>
      <w:tr w:rsidR="00FF5BC0" w:rsidRPr="00D7530A" w14:paraId="3CD819CE" w14:textId="77777777" w:rsidTr="00D0257F">
        <w:trPr>
          <w:trHeight w:val="1071"/>
          <w:jc w:val="center"/>
        </w:trPr>
        <w:tc>
          <w:tcPr>
            <w:tcW w:w="3681" w:type="dxa"/>
          </w:tcPr>
          <w:p w14:paraId="50B786BE" w14:textId="77777777" w:rsidR="00FF5BC0" w:rsidRPr="005C5306" w:rsidRDefault="00FF5BC0" w:rsidP="00FF5BC0">
            <w:pPr>
              <w:spacing w:line="360" w:lineRule="auto"/>
              <w:rPr>
                <w:sz w:val="20"/>
                <w:szCs w:val="20"/>
              </w:rPr>
            </w:pPr>
            <w:r w:rsidRPr="005C5306">
              <w:rPr>
                <w:sz w:val="20"/>
                <w:szCs w:val="20"/>
              </w:rPr>
              <w:t xml:space="preserve">A679071.071 </w:t>
            </w:r>
          </w:p>
          <w:p w14:paraId="3CE65E30" w14:textId="2BB9158B" w:rsidR="00FF5BC0" w:rsidRPr="00D7530A" w:rsidRDefault="00FF5BC0" w:rsidP="00FF5BC0">
            <w:pPr>
              <w:spacing w:line="360" w:lineRule="auto"/>
              <w:rPr>
                <w:lang w:eastAsia="hr-HR"/>
              </w:rPr>
            </w:pPr>
            <w:r w:rsidRPr="005C5306">
              <w:rPr>
                <w:sz w:val="20"/>
                <w:szCs w:val="20"/>
              </w:rPr>
              <w:t>Istraživanje i razvoj inovativnih drvnih zidnih obloga, pregradnih i nosivih zidova za održivu gradnju u poduzeću Spačva d.d. KK.01.2.1.0244</w:t>
            </w:r>
          </w:p>
        </w:tc>
        <w:tc>
          <w:tcPr>
            <w:tcW w:w="1843" w:type="dxa"/>
            <w:vAlign w:val="center"/>
          </w:tcPr>
          <w:p w14:paraId="6CB81F71" w14:textId="76F1591F" w:rsidR="00FF5BC0" w:rsidRPr="005C5306" w:rsidRDefault="00FF5BC0" w:rsidP="00B96541">
            <w:pPr>
              <w:spacing w:line="360" w:lineRule="auto"/>
              <w:jc w:val="center"/>
            </w:pPr>
            <w:r w:rsidRPr="005C5306">
              <w:t>19.019,00</w:t>
            </w:r>
          </w:p>
        </w:tc>
        <w:tc>
          <w:tcPr>
            <w:tcW w:w="1417" w:type="dxa"/>
            <w:vAlign w:val="center"/>
          </w:tcPr>
          <w:p w14:paraId="6E9B213E" w14:textId="74AEBB74" w:rsidR="00FF5BC0" w:rsidRPr="005C5306" w:rsidRDefault="00FF5BC0" w:rsidP="00B96541">
            <w:pPr>
              <w:spacing w:line="360" w:lineRule="auto"/>
              <w:jc w:val="center"/>
            </w:pPr>
            <w:r w:rsidRPr="005C5306">
              <w:t>21.986,25</w:t>
            </w:r>
          </w:p>
        </w:tc>
        <w:tc>
          <w:tcPr>
            <w:tcW w:w="1276" w:type="dxa"/>
            <w:vAlign w:val="center"/>
          </w:tcPr>
          <w:p w14:paraId="505736A4" w14:textId="6D3D692E" w:rsidR="00FF5BC0" w:rsidRPr="005C5306" w:rsidRDefault="00FF5BC0" w:rsidP="00B96541">
            <w:pPr>
              <w:spacing w:line="360" w:lineRule="auto"/>
              <w:jc w:val="center"/>
            </w:pPr>
            <w:r w:rsidRPr="005C5306">
              <w:t>115,60</w:t>
            </w:r>
          </w:p>
        </w:tc>
      </w:tr>
    </w:tbl>
    <w:p w14:paraId="29DB4CFE" w14:textId="272E6B5C" w:rsidR="00613CD1" w:rsidRDefault="00613CD1" w:rsidP="00A70E85">
      <w:pPr>
        <w:spacing w:line="360" w:lineRule="auto"/>
        <w:jc w:val="both"/>
      </w:pPr>
      <w:bookmarkStart w:id="11" w:name="_Hlk161755145"/>
    </w:p>
    <w:p w14:paraId="69DF4679" w14:textId="77777777" w:rsidR="005C5306" w:rsidRPr="00860C12" w:rsidRDefault="005C5306" w:rsidP="005C5306">
      <w:pPr>
        <w:pBdr>
          <w:top w:val="dotted" w:sz="4" w:space="1" w:color="808080"/>
          <w:bottom w:val="dotted" w:sz="4" w:space="1" w:color="808080"/>
        </w:pBdr>
        <w:shd w:val="clear" w:color="auto" w:fill="BFBFBF" w:themeFill="background1" w:themeFillShade="BF"/>
        <w:spacing w:line="360" w:lineRule="auto"/>
        <w:jc w:val="both"/>
        <w:rPr>
          <w:rFonts w:eastAsia="Calibri"/>
          <w:b/>
        </w:rPr>
      </w:pPr>
      <w:r w:rsidRPr="00860C12">
        <w:rPr>
          <w:rFonts w:eastAsia="Calibri"/>
          <w:b/>
        </w:rPr>
        <w:t>A679071.072 Istraživanje i razvoj samozbijajućeg betona i betona za 3D printer sa dodatkom biopepela, šifra KK.01.2.1.02.0055.</w:t>
      </w:r>
    </w:p>
    <w:p w14:paraId="0159B772" w14:textId="77777777" w:rsidR="005C5306" w:rsidRDefault="005C5306" w:rsidP="00A70E85">
      <w:pPr>
        <w:spacing w:line="360" w:lineRule="auto"/>
        <w:jc w:val="both"/>
      </w:pPr>
    </w:p>
    <w:p w14:paraId="788DE237" w14:textId="3650FC49" w:rsidR="00736B26" w:rsidRPr="00860C12" w:rsidRDefault="001D74BC" w:rsidP="00A70E85">
      <w:pPr>
        <w:spacing w:line="360" w:lineRule="auto"/>
        <w:jc w:val="both"/>
      </w:pPr>
      <w:r w:rsidRPr="00860C12">
        <w:t xml:space="preserve">Glavni cilj projekta je istraživanje i razvoj betona s dodatkom biopepela za samozbijajući beton te 3D printer betona kojim će se pridonijeti povećanju učinkovitosti građevinskog sektora i </w:t>
      </w:r>
      <w:r w:rsidRPr="00860C12">
        <w:lastRenderedPageBreak/>
        <w:t>smanjenju negativnog utjecaja na okoliš kroz ulaganje u istraživačko-razvojne kapacitete nositelja projekta Presoflex gradnja d.o.o. i suradnju s Građevinskim i arhitektonskim fakultetom Osijek za razvoj dva nova proizvoda koji predstavljaju novost za poduzeće i tržište i od kojih će se jedan proizvod zaštititi kao intelektualno vlasništvo.</w:t>
      </w:r>
      <w:r w:rsidR="005C5306">
        <w:t xml:space="preserve"> </w:t>
      </w:r>
      <w:r w:rsidR="00736B26">
        <w:t>Rashodi ove aktivnosti obuhvaćaju rashode za plaće i prijevoz zaposlenih na projektu.</w:t>
      </w:r>
    </w:p>
    <w:p w14:paraId="365631A2" w14:textId="00A54A10" w:rsidR="00323875" w:rsidRPr="00860C12" w:rsidRDefault="00323875" w:rsidP="00736B2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99"/>
        <w:gridCol w:w="1524"/>
        <w:gridCol w:w="2409"/>
        <w:gridCol w:w="1169"/>
      </w:tblGrid>
      <w:tr w:rsidR="00832336" w:rsidRPr="00860C12" w14:paraId="29174349" w14:textId="77777777" w:rsidTr="00832336">
        <w:trPr>
          <w:trHeight w:val="609"/>
          <w:jc w:val="center"/>
        </w:trPr>
        <w:tc>
          <w:tcPr>
            <w:tcW w:w="2299" w:type="dxa"/>
            <w:shd w:val="clear" w:color="auto" w:fill="BFBFBF" w:themeFill="background1" w:themeFillShade="BF"/>
            <w:vAlign w:val="center"/>
          </w:tcPr>
          <w:bookmarkEnd w:id="11"/>
          <w:p w14:paraId="0E97908F" w14:textId="77777777" w:rsidR="00832336" w:rsidRPr="00860C12" w:rsidRDefault="00832336" w:rsidP="00B96541">
            <w:pPr>
              <w:spacing w:line="360" w:lineRule="auto"/>
              <w:jc w:val="center"/>
              <w:rPr>
                <w:b/>
                <w:color w:val="FF0000"/>
              </w:rPr>
            </w:pPr>
            <w:r w:rsidRPr="00C6077A">
              <w:rPr>
                <w:b/>
              </w:rPr>
              <w:t>Aktivnost</w:t>
            </w:r>
          </w:p>
        </w:tc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67918069" w14:textId="77777777" w:rsidR="00832336" w:rsidRPr="00860C12" w:rsidRDefault="00832336" w:rsidP="00B96541">
            <w:pPr>
              <w:spacing w:line="360" w:lineRule="auto"/>
              <w:jc w:val="center"/>
              <w:rPr>
                <w:b/>
                <w:color w:val="FF0000"/>
              </w:rPr>
            </w:pPr>
            <w:r w:rsidRPr="00C6077A">
              <w:rPr>
                <w:b/>
              </w:rPr>
              <w:t>Izvorni plan ili rebalans 2023.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53F81A67" w14:textId="77777777" w:rsidR="00832336" w:rsidRPr="00860C12" w:rsidRDefault="00832336" w:rsidP="00B96541">
            <w:pPr>
              <w:spacing w:line="360" w:lineRule="auto"/>
              <w:jc w:val="center"/>
              <w:rPr>
                <w:color w:val="FF0000"/>
              </w:rPr>
            </w:pPr>
            <w:r w:rsidRPr="00C6077A">
              <w:rPr>
                <w:b/>
              </w:rPr>
              <w:t>Ostvarenje/izvršenje 2023.</w:t>
            </w:r>
          </w:p>
        </w:tc>
        <w:tc>
          <w:tcPr>
            <w:tcW w:w="1169" w:type="dxa"/>
            <w:shd w:val="clear" w:color="auto" w:fill="BFBFBF" w:themeFill="background1" w:themeFillShade="BF"/>
            <w:vAlign w:val="center"/>
          </w:tcPr>
          <w:p w14:paraId="7019CE96" w14:textId="77777777" w:rsidR="00832336" w:rsidRPr="00860C12" w:rsidRDefault="00832336" w:rsidP="00B96541">
            <w:pPr>
              <w:spacing w:line="360" w:lineRule="auto"/>
              <w:jc w:val="center"/>
              <w:rPr>
                <w:color w:val="FF0000"/>
              </w:rPr>
            </w:pPr>
            <w:r w:rsidRPr="00C6077A">
              <w:rPr>
                <w:b/>
              </w:rPr>
              <w:t>Indeks</w:t>
            </w:r>
          </w:p>
        </w:tc>
      </w:tr>
      <w:tr w:rsidR="00832336" w:rsidRPr="00D7530A" w14:paraId="570C7F82" w14:textId="77777777" w:rsidTr="00832336">
        <w:trPr>
          <w:trHeight w:val="1859"/>
          <w:jc w:val="center"/>
        </w:trPr>
        <w:tc>
          <w:tcPr>
            <w:tcW w:w="2299" w:type="dxa"/>
          </w:tcPr>
          <w:p w14:paraId="7C7D057B" w14:textId="77777777" w:rsidR="00832336" w:rsidRPr="00832336" w:rsidRDefault="00832336" w:rsidP="00B96541">
            <w:pPr>
              <w:spacing w:line="360" w:lineRule="auto"/>
            </w:pPr>
          </w:p>
          <w:p w14:paraId="3DA2C635" w14:textId="77777777" w:rsidR="00832336" w:rsidRPr="00832336" w:rsidRDefault="00832336" w:rsidP="00832336">
            <w:pPr>
              <w:spacing w:line="360" w:lineRule="auto"/>
              <w:rPr>
                <w:sz w:val="20"/>
                <w:szCs w:val="20"/>
              </w:rPr>
            </w:pPr>
            <w:r w:rsidRPr="00832336">
              <w:rPr>
                <w:sz w:val="20"/>
                <w:szCs w:val="20"/>
              </w:rPr>
              <w:t>A679071.072</w:t>
            </w:r>
          </w:p>
          <w:p w14:paraId="6706CAEE" w14:textId="289AB0B4" w:rsidR="00832336" w:rsidRPr="00D7530A" w:rsidRDefault="00832336" w:rsidP="00832336">
            <w:pPr>
              <w:spacing w:line="360" w:lineRule="auto"/>
              <w:rPr>
                <w:lang w:eastAsia="hr-HR"/>
              </w:rPr>
            </w:pPr>
            <w:r w:rsidRPr="00832336">
              <w:rPr>
                <w:sz w:val="20"/>
                <w:szCs w:val="20"/>
              </w:rPr>
              <w:t>Istraživanje i razvoj samozbijajućeg betona i betona za 3D printer sa dodatkom biopepela, šifra KK.01.2.1.02.0055</w:t>
            </w:r>
          </w:p>
        </w:tc>
        <w:tc>
          <w:tcPr>
            <w:tcW w:w="1524" w:type="dxa"/>
            <w:vAlign w:val="center"/>
          </w:tcPr>
          <w:p w14:paraId="0AA3F6B6" w14:textId="2CE8F3FF" w:rsidR="00832336" w:rsidRPr="00D7530A" w:rsidRDefault="00832336" w:rsidP="00B96541">
            <w:pPr>
              <w:spacing w:line="360" w:lineRule="auto"/>
              <w:jc w:val="center"/>
            </w:pPr>
            <w:r>
              <w:t>23.686,00</w:t>
            </w:r>
          </w:p>
        </w:tc>
        <w:tc>
          <w:tcPr>
            <w:tcW w:w="2409" w:type="dxa"/>
            <w:vAlign w:val="center"/>
          </w:tcPr>
          <w:p w14:paraId="4F3C6D52" w14:textId="75B9A93E" w:rsidR="00832336" w:rsidRPr="00D7530A" w:rsidRDefault="00832336" w:rsidP="00B96541">
            <w:pPr>
              <w:spacing w:line="360" w:lineRule="auto"/>
              <w:jc w:val="center"/>
            </w:pPr>
            <w:r>
              <w:t>18.293,56</w:t>
            </w:r>
          </w:p>
        </w:tc>
        <w:tc>
          <w:tcPr>
            <w:tcW w:w="1169" w:type="dxa"/>
            <w:vAlign w:val="center"/>
          </w:tcPr>
          <w:p w14:paraId="5C3ACE62" w14:textId="44F7CECD" w:rsidR="00832336" w:rsidRPr="00D7530A" w:rsidRDefault="00832336" w:rsidP="00B96541">
            <w:pPr>
              <w:spacing w:line="360" w:lineRule="auto"/>
              <w:jc w:val="center"/>
            </w:pPr>
            <w:r>
              <w:t>77,23</w:t>
            </w:r>
          </w:p>
        </w:tc>
      </w:tr>
    </w:tbl>
    <w:p w14:paraId="201C8F4D" w14:textId="77777777" w:rsidR="002571C7" w:rsidRPr="00860C12" w:rsidRDefault="002571C7" w:rsidP="00A70E85">
      <w:pPr>
        <w:spacing w:before="240" w:line="360" w:lineRule="auto"/>
        <w:jc w:val="both"/>
      </w:pPr>
    </w:p>
    <w:p w14:paraId="02B0D44B" w14:textId="3C4D1F20" w:rsidR="002B0A74" w:rsidRPr="00860C12" w:rsidRDefault="00732D50" w:rsidP="00A70E85">
      <w:pPr>
        <w:pBdr>
          <w:top w:val="dotted" w:sz="4" w:space="1" w:color="808080"/>
          <w:bottom w:val="dotted" w:sz="4" w:space="1" w:color="808080"/>
        </w:pBdr>
        <w:shd w:val="clear" w:color="auto" w:fill="BFBFBF" w:themeFill="background1" w:themeFillShade="BF"/>
        <w:spacing w:line="360" w:lineRule="auto"/>
        <w:jc w:val="both"/>
      </w:pPr>
      <w:bookmarkStart w:id="12" w:name="_Hlk161755221"/>
      <w:r w:rsidRPr="00860C12">
        <w:rPr>
          <w:rFonts w:eastAsia="Calibri"/>
          <w:b/>
        </w:rPr>
        <w:t xml:space="preserve"> </w:t>
      </w:r>
      <w:r w:rsidRPr="00860C12">
        <w:rPr>
          <w:b/>
          <w:bCs/>
          <w:color w:val="333333"/>
          <w:lang w:eastAsia="hr-HR"/>
        </w:rPr>
        <w:t>Greening the cities 2.0,  HR-RS41</w:t>
      </w:r>
    </w:p>
    <w:p w14:paraId="4D38A580" w14:textId="6DAE9758" w:rsidR="002571C7" w:rsidRDefault="002571C7" w:rsidP="00A70E85">
      <w:pPr>
        <w:spacing w:line="360" w:lineRule="auto"/>
      </w:pPr>
    </w:p>
    <w:p w14:paraId="54CCDD00" w14:textId="2C220719" w:rsidR="00083069" w:rsidRPr="00860C12" w:rsidRDefault="001D74BC" w:rsidP="00D0257F">
      <w:pPr>
        <w:spacing w:line="360" w:lineRule="auto"/>
        <w:jc w:val="both"/>
        <w:rPr>
          <w:color w:val="333333"/>
          <w:lang w:eastAsia="hr-HR"/>
        </w:rPr>
      </w:pPr>
      <w:r w:rsidRPr="00D0257F">
        <w:rPr>
          <w:color w:val="333333"/>
          <w:lang w:eastAsia="hr-HR"/>
        </w:rPr>
        <w:t>Cilj projekta je izrada primjera dobre prakse u gradskim sredinama, a vezano za promociju poboljšanja energetske efikasnosti, termalne ugode stanovništva i životne sredine gradova Novi Sad i Osijek.</w:t>
      </w:r>
      <w:r w:rsidR="005C5306">
        <w:rPr>
          <w:color w:val="333333"/>
          <w:lang w:eastAsia="hr-HR"/>
        </w:rPr>
        <w:t xml:space="preserve"> </w:t>
      </w:r>
      <w:bookmarkEnd w:id="12"/>
      <w:r w:rsidR="00736B26">
        <w:rPr>
          <w:color w:val="333333"/>
          <w:lang w:eastAsia="hr-HR"/>
        </w:rPr>
        <w:t xml:space="preserve">Rashodi </w:t>
      </w:r>
      <w:r>
        <w:rPr>
          <w:color w:val="333333"/>
          <w:lang w:eastAsia="hr-HR"/>
        </w:rPr>
        <w:t>ove aktivnosti obuhvaćaju rashod</w:t>
      </w:r>
      <w:r w:rsidR="00736B26">
        <w:rPr>
          <w:color w:val="333333"/>
          <w:lang w:eastAsia="hr-HR"/>
        </w:rPr>
        <w:t>e za promidžbene aktivnosti i nabavu računala.</w:t>
      </w:r>
    </w:p>
    <w:tbl>
      <w:tblPr>
        <w:tblStyle w:val="TableGrid"/>
        <w:tblpPr w:leftFromText="180" w:rightFromText="180" w:vertAnchor="text" w:horzAnchor="margin" w:tblpXSpec="center" w:tblpY="-39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1696"/>
        <w:gridCol w:w="2410"/>
        <w:gridCol w:w="992"/>
      </w:tblGrid>
      <w:tr w:rsidR="00832336" w:rsidRPr="00860C12" w14:paraId="60CC5D20" w14:textId="77777777" w:rsidTr="00083069">
        <w:trPr>
          <w:trHeight w:val="522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17F90528" w14:textId="77777777" w:rsidR="00832336" w:rsidRPr="00860C12" w:rsidRDefault="00832336" w:rsidP="00832336">
            <w:pPr>
              <w:spacing w:line="360" w:lineRule="auto"/>
              <w:jc w:val="center"/>
              <w:rPr>
                <w:b/>
                <w:color w:val="FF0000"/>
              </w:rPr>
            </w:pPr>
            <w:r w:rsidRPr="001D74BC">
              <w:rPr>
                <w:b/>
              </w:rPr>
              <w:t>Aktivnost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474795AA" w14:textId="20E26EBF" w:rsidR="00832336" w:rsidRPr="00860C12" w:rsidRDefault="00832336" w:rsidP="00832336">
            <w:pPr>
              <w:spacing w:line="360" w:lineRule="auto"/>
              <w:jc w:val="center"/>
              <w:rPr>
                <w:b/>
                <w:color w:val="FF0000"/>
              </w:rPr>
            </w:pPr>
            <w:r w:rsidRPr="00C6077A">
              <w:rPr>
                <w:b/>
              </w:rPr>
              <w:t>Izvorni plan ili rebalans 2023.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0457533" w14:textId="01313DFC" w:rsidR="00832336" w:rsidRPr="00860C12" w:rsidRDefault="00832336" w:rsidP="00832336">
            <w:pPr>
              <w:spacing w:line="360" w:lineRule="auto"/>
              <w:jc w:val="center"/>
              <w:rPr>
                <w:color w:val="FF0000"/>
              </w:rPr>
            </w:pPr>
            <w:r w:rsidRPr="00C6077A">
              <w:rPr>
                <w:b/>
              </w:rPr>
              <w:t>Ostvarenje/izvršenje 2023.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3ADE239" w14:textId="098B1E38" w:rsidR="00832336" w:rsidRPr="00860C12" w:rsidRDefault="00832336" w:rsidP="00832336">
            <w:pPr>
              <w:spacing w:line="360" w:lineRule="auto"/>
              <w:jc w:val="center"/>
              <w:rPr>
                <w:color w:val="FF0000"/>
              </w:rPr>
            </w:pPr>
            <w:r w:rsidRPr="00C6077A">
              <w:rPr>
                <w:b/>
              </w:rPr>
              <w:t>Indeks</w:t>
            </w:r>
          </w:p>
        </w:tc>
      </w:tr>
      <w:tr w:rsidR="00832336" w:rsidRPr="00860C12" w14:paraId="52747F2F" w14:textId="77777777" w:rsidTr="00083069">
        <w:trPr>
          <w:trHeight w:val="2262"/>
        </w:trPr>
        <w:tc>
          <w:tcPr>
            <w:tcW w:w="3119" w:type="dxa"/>
          </w:tcPr>
          <w:p w14:paraId="1B1D8C37" w14:textId="77777777" w:rsidR="00832336" w:rsidRPr="001D74BC" w:rsidRDefault="00832336" w:rsidP="00832336">
            <w:pPr>
              <w:spacing w:line="360" w:lineRule="auto"/>
              <w:rPr>
                <w:sz w:val="20"/>
                <w:szCs w:val="20"/>
              </w:rPr>
            </w:pPr>
            <w:r w:rsidRPr="001D74BC">
              <w:rPr>
                <w:sz w:val="20"/>
                <w:szCs w:val="20"/>
              </w:rPr>
              <w:t>NOVI PODPROJEKT A679071</w:t>
            </w:r>
          </w:p>
          <w:p w14:paraId="1B7959E7" w14:textId="50A33E28" w:rsidR="00832336" w:rsidRPr="001D74BC" w:rsidRDefault="00832336" w:rsidP="00CB1F15">
            <w:pPr>
              <w:spacing w:line="360" w:lineRule="auto"/>
            </w:pPr>
            <w:r w:rsidRPr="001D74BC">
              <w:rPr>
                <w:sz w:val="20"/>
                <w:szCs w:val="20"/>
              </w:rPr>
              <w:t>G</w:t>
            </w:r>
            <w:r w:rsidRPr="001D74BC">
              <w:rPr>
                <w:iCs/>
                <w:sz w:val="20"/>
                <w:szCs w:val="20"/>
                <w:shd w:val="clear" w:color="auto" w:fill="FFFFFF"/>
              </w:rPr>
              <w:t>reening the cities 2.0 – Development and promotion of energy efficiency and sustainable urban environment in the cities of Croatia-Serbia cross-border region</w:t>
            </w:r>
          </w:p>
        </w:tc>
        <w:tc>
          <w:tcPr>
            <w:tcW w:w="1696" w:type="dxa"/>
            <w:vAlign w:val="center"/>
          </w:tcPr>
          <w:p w14:paraId="197ABC6D" w14:textId="4A1986FF" w:rsidR="00832336" w:rsidRPr="001D74BC" w:rsidRDefault="00832336" w:rsidP="00832336">
            <w:pPr>
              <w:spacing w:line="360" w:lineRule="auto"/>
              <w:jc w:val="center"/>
            </w:pPr>
            <w:r w:rsidRPr="001D74BC">
              <w:rPr>
                <w:bCs/>
              </w:rPr>
              <w:t>10.739,00</w:t>
            </w:r>
          </w:p>
        </w:tc>
        <w:tc>
          <w:tcPr>
            <w:tcW w:w="2410" w:type="dxa"/>
            <w:vAlign w:val="center"/>
          </w:tcPr>
          <w:p w14:paraId="149B5C58" w14:textId="17FF6C73" w:rsidR="00832336" w:rsidRPr="001D74BC" w:rsidRDefault="00832336" w:rsidP="00832336">
            <w:pPr>
              <w:spacing w:line="360" w:lineRule="auto"/>
              <w:jc w:val="center"/>
            </w:pPr>
            <w:r w:rsidRPr="001D74BC">
              <w:t>10.738,75</w:t>
            </w:r>
          </w:p>
        </w:tc>
        <w:tc>
          <w:tcPr>
            <w:tcW w:w="992" w:type="dxa"/>
            <w:vAlign w:val="center"/>
          </w:tcPr>
          <w:p w14:paraId="27325F08" w14:textId="15538BC0" w:rsidR="00832336" w:rsidRPr="001D74BC" w:rsidRDefault="00832336" w:rsidP="00832336">
            <w:pPr>
              <w:spacing w:line="360" w:lineRule="auto"/>
              <w:jc w:val="center"/>
            </w:pPr>
            <w:r w:rsidRPr="001D74BC">
              <w:t>100</w:t>
            </w:r>
          </w:p>
        </w:tc>
      </w:tr>
    </w:tbl>
    <w:p w14:paraId="000651F1" w14:textId="3077068D" w:rsidR="00613CD1" w:rsidRDefault="00613CD1" w:rsidP="00A70E85">
      <w:pPr>
        <w:spacing w:line="360" w:lineRule="auto"/>
      </w:pPr>
    </w:p>
    <w:p w14:paraId="6143191A" w14:textId="77777777" w:rsidR="005C5306" w:rsidRPr="00860C12" w:rsidRDefault="005C5306" w:rsidP="00A70E85">
      <w:pPr>
        <w:spacing w:line="360" w:lineRule="auto"/>
      </w:pPr>
    </w:p>
    <w:p w14:paraId="542DC35B" w14:textId="66878F1D" w:rsidR="002B0A74" w:rsidRPr="00860C12" w:rsidRDefault="002B0A74" w:rsidP="00A70E85">
      <w:pPr>
        <w:pBdr>
          <w:top w:val="dotted" w:sz="4" w:space="1" w:color="808080"/>
          <w:bottom w:val="dotted" w:sz="4" w:space="1" w:color="808080"/>
        </w:pBdr>
        <w:shd w:val="clear" w:color="auto" w:fill="BFBFBF" w:themeFill="background1" w:themeFillShade="BF"/>
        <w:spacing w:line="360" w:lineRule="auto"/>
        <w:jc w:val="both"/>
      </w:pPr>
      <w:bookmarkStart w:id="13" w:name="_Hlk161755306"/>
      <w:r w:rsidRPr="00860C12">
        <w:rPr>
          <w:b/>
          <w:bCs/>
          <w:color w:val="333333"/>
          <w:lang w:eastAsia="hr-HR"/>
        </w:rPr>
        <w:lastRenderedPageBreak/>
        <w:t xml:space="preserve">Kreativna </w:t>
      </w:r>
      <w:r w:rsidR="00A70E85" w:rsidRPr="00860C12">
        <w:rPr>
          <w:b/>
          <w:bCs/>
          <w:color w:val="333333"/>
          <w:lang w:eastAsia="hr-HR"/>
        </w:rPr>
        <w:t>STE</w:t>
      </w:r>
      <w:r w:rsidR="00050D0C" w:rsidRPr="00860C12">
        <w:rPr>
          <w:b/>
          <w:bCs/>
          <w:color w:val="333333"/>
          <w:lang w:eastAsia="hr-HR"/>
        </w:rPr>
        <w:t>M</w:t>
      </w:r>
      <w:r w:rsidRPr="00860C12">
        <w:rPr>
          <w:b/>
          <w:bCs/>
          <w:color w:val="333333"/>
          <w:lang w:eastAsia="hr-HR"/>
        </w:rPr>
        <w:t xml:space="preserve"> revolucija u Slavoniji</w:t>
      </w:r>
    </w:p>
    <w:p w14:paraId="7A3100AB" w14:textId="541F256B" w:rsidR="002B0A74" w:rsidRDefault="002B0A74" w:rsidP="00A70E85">
      <w:pPr>
        <w:spacing w:line="360" w:lineRule="auto"/>
      </w:pPr>
    </w:p>
    <w:p w14:paraId="584EE889" w14:textId="0E42CDBA" w:rsidR="00D64296" w:rsidRDefault="001D74BC" w:rsidP="00D0257F">
      <w:pPr>
        <w:spacing w:line="360" w:lineRule="auto"/>
        <w:jc w:val="both"/>
        <w:rPr>
          <w:color w:val="333333"/>
          <w:lang w:eastAsia="hr-HR"/>
        </w:rPr>
      </w:pPr>
      <w:r w:rsidRPr="00822689">
        <w:rPr>
          <w:color w:val="333333"/>
          <w:lang w:eastAsia="hr-HR"/>
        </w:rPr>
        <w:t>Kreativna STEM revolucija u Slavoniji projekt je jačanja kapaciteta Dječjeg kreativnog centra DOKKICA i Udruge za razvoj zajednice Kreaktiva za razvijanje održivih programa aktivnog uključivanja djece i mladih te opće populacije u popularizaciju STEM-a na području istočne Hrvatske, u svih pet slavonskih županija. Partnerstvom sa Sveučilištem Josipa Jurja Strossmayera u Osijeku, Građevinskim i arhitektonskim fakultetom Osijek, Prehrambeno-tehnološkim fakultetom Osijek i Tehničkom školom Nikole Tesle Vukovar osmislit će se i postaviti u Osijeku inovativni i interaktivni STEM park kao trajan postav za popularizaciju znanosti. </w:t>
      </w:r>
      <w:r w:rsidR="00736B26">
        <w:rPr>
          <w:color w:val="333333"/>
          <w:lang w:eastAsia="hr-HR"/>
        </w:rPr>
        <w:t>Rashodi ove aktivnosti obuhvaćaju rashode za službena putovanja.</w:t>
      </w:r>
      <w:r w:rsidR="00732D50" w:rsidRPr="00860C12">
        <w:rPr>
          <w:color w:val="333333"/>
          <w:lang w:eastAsia="hr-HR"/>
        </w:rPr>
        <w:t> </w:t>
      </w:r>
    </w:p>
    <w:p w14:paraId="3056804C" w14:textId="77777777" w:rsidR="00083069" w:rsidRPr="00860C12" w:rsidRDefault="00083069" w:rsidP="00083069">
      <w:pPr>
        <w:spacing w:line="360" w:lineRule="auto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99"/>
        <w:gridCol w:w="1524"/>
        <w:gridCol w:w="2409"/>
        <w:gridCol w:w="1169"/>
      </w:tblGrid>
      <w:tr w:rsidR="00832336" w:rsidRPr="00860C12" w14:paraId="4A4E6CE1" w14:textId="77777777" w:rsidTr="00CB1F15">
        <w:trPr>
          <w:trHeight w:val="609"/>
          <w:jc w:val="center"/>
        </w:trPr>
        <w:tc>
          <w:tcPr>
            <w:tcW w:w="2299" w:type="dxa"/>
            <w:shd w:val="clear" w:color="auto" w:fill="BFBFBF" w:themeFill="background1" w:themeFillShade="BF"/>
            <w:vAlign w:val="center"/>
          </w:tcPr>
          <w:bookmarkEnd w:id="13"/>
          <w:p w14:paraId="2E3674B9" w14:textId="77777777" w:rsidR="00832336" w:rsidRPr="00860C12" w:rsidRDefault="00832336" w:rsidP="00B96541">
            <w:pPr>
              <w:spacing w:line="360" w:lineRule="auto"/>
              <w:jc w:val="center"/>
              <w:rPr>
                <w:b/>
                <w:color w:val="FF0000"/>
              </w:rPr>
            </w:pPr>
            <w:r w:rsidRPr="00C6077A">
              <w:rPr>
                <w:b/>
              </w:rPr>
              <w:t>Aktivnost</w:t>
            </w:r>
          </w:p>
        </w:tc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7A289EC4" w14:textId="77777777" w:rsidR="00832336" w:rsidRPr="00860C12" w:rsidRDefault="00832336" w:rsidP="00B96541">
            <w:pPr>
              <w:spacing w:line="360" w:lineRule="auto"/>
              <w:jc w:val="center"/>
              <w:rPr>
                <w:b/>
                <w:color w:val="FF0000"/>
              </w:rPr>
            </w:pPr>
            <w:r w:rsidRPr="00C6077A">
              <w:rPr>
                <w:b/>
              </w:rPr>
              <w:t>Izvorni plan ili rebalans 2023.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035FC2F0" w14:textId="77777777" w:rsidR="00832336" w:rsidRPr="00860C12" w:rsidRDefault="00832336" w:rsidP="00B96541">
            <w:pPr>
              <w:spacing w:line="360" w:lineRule="auto"/>
              <w:jc w:val="center"/>
              <w:rPr>
                <w:color w:val="FF0000"/>
              </w:rPr>
            </w:pPr>
            <w:r w:rsidRPr="00C6077A">
              <w:rPr>
                <w:b/>
              </w:rPr>
              <w:t>Ostvarenje/izvršenje 2023.</w:t>
            </w:r>
          </w:p>
        </w:tc>
        <w:tc>
          <w:tcPr>
            <w:tcW w:w="1169" w:type="dxa"/>
            <w:shd w:val="clear" w:color="auto" w:fill="BFBFBF" w:themeFill="background1" w:themeFillShade="BF"/>
            <w:vAlign w:val="center"/>
          </w:tcPr>
          <w:p w14:paraId="0BC61CE0" w14:textId="77777777" w:rsidR="00832336" w:rsidRPr="00860C12" w:rsidRDefault="00832336" w:rsidP="00B96541">
            <w:pPr>
              <w:spacing w:line="360" w:lineRule="auto"/>
              <w:jc w:val="center"/>
              <w:rPr>
                <w:color w:val="FF0000"/>
              </w:rPr>
            </w:pPr>
            <w:r w:rsidRPr="00C6077A">
              <w:rPr>
                <w:b/>
              </w:rPr>
              <w:t>Indeks</w:t>
            </w:r>
          </w:p>
        </w:tc>
      </w:tr>
      <w:tr w:rsidR="00832336" w:rsidRPr="00D7530A" w14:paraId="73F6C83B" w14:textId="77777777" w:rsidTr="00CB1F15">
        <w:trPr>
          <w:trHeight w:val="1071"/>
          <w:jc w:val="center"/>
        </w:trPr>
        <w:tc>
          <w:tcPr>
            <w:tcW w:w="2299" w:type="dxa"/>
          </w:tcPr>
          <w:p w14:paraId="3DB3D3B9" w14:textId="3332C5DA" w:rsidR="00832336" w:rsidRPr="00CB1F15" w:rsidRDefault="00832336" w:rsidP="00B96541">
            <w:pPr>
              <w:spacing w:line="360" w:lineRule="auto"/>
              <w:rPr>
                <w:sz w:val="20"/>
                <w:szCs w:val="20"/>
              </w:rPr>
            </w:pPr>
            <w:r w:rsidRPr="00CB1F15">
              <w:rPr>
                <w:sz w:val="20"/>
                <w:szCs w:val="20"/>
              </w:rPr>
              <w:t>NOVI PODPROJEKT</w:t>
            </w:r>
          </w:p>
          <w:p w14:paraId="36CE2DD5" w14:textId="0F1E6551" w:rsidR="00832336" w:rsidRPr="00CB1F15" w:rsidRDefault="00832336" w:rsidP="00B96541">
            <w:pPr>
              <w:spacing w:line="360" w:lineRule="auto"/>
              <w:rPr>
                <w:sz w:val="20"/>
                <w:szCs w:val="20"/>
              </w:rPr>
            </w:pPr>
            <w:r w:rsidRPr="00CB1F15">
              <w:rPr>
                <w:sz w:val="20"/>
                <w:szCs w:val="20"/>
              </w:rPr>
              <w:t>A679071</w:t>
            </w:r>
          </w:p>
          <w:p w14:paraId="1EC1251D" w14:textId="16D9BA6C" w:rsidR="00832336" w:rsidRPr="00D7530A" w:rsidRDefault="00CB1F15" w:rsidP="00B96541">
            <w:pPr>
              <w:spacing w:line="360" w:lineRule="auto"/>
            </w:pPr>
            <w:r w:rsidRPr="00CB1F15">
              <w:rPr>
                <w:color w:val="333333"/>
                <w:sz w:val="20"/>
                <w:szCs w:val="20"/>
                <w:lang w:eastAsia="hr-HR"/>
              </w:rPr>
              <w:t>Kreativna STEM revolucija u Slavoniji</w:t>
            </w:r>
          </w:p>
        </w:tc>
        <w:tc>
          <w:tcPr>
            <w:tcW w:w="1524" w:type="dxa"/>
            <w:vAlign w:val="center"/>
          </w:tcPr>
          <w:p w14:paraId="72B9901D" w14:textId="6A5D61FA" w:rsidR="00832336" w:rsidRPr="00D7530A" w:rsidRDefault="00CB1F15" w:rsidP="00B96541">
            <w:pPr>
              <w:spacing w:line="360" w:lineRule="auto"/>
              <w:jc w:val="center"/>
            </w:pPr>
            <w:r>
              <w:t>407,00</w:t>
            </w:r>
          </w:p>
        </w:tc>
        <w:tc>
          <w:tcPr>
            <w:tcW w:w="2409" w:type="dxa"/>
            <w:vAlign w:val="center"/>
          </w:tcPr>
          <w:p w14:paraId="53DAACC8" w14:textId="22097C55" w:rsidR="00832336" w:rsidRPr="00D7530A" w:rsidRDefault="00CB1F15" w:rsidP="00B96541">
            <w:pPr>
              <w:spacing w:line="360" w:lineRule="auto"/>
              <w:jc w:val="center"/>
            </w:pPr>
            <w:r>
              <w:t>407,47</w:t>
            </w:r>
          </w:p>
        </w:tc>
        <w:tc>
          <w:tcPr>
            <w:tcW w:w="1169" w:type="dxa"/>
            <w:vAlign w:val="center"/>
          </w:tcPr>
          <w:p w14:paraId="0723656D" w14:textId="2267ADB5" w:rsidR="00832336" w:rsidRPr="00D7530A" w:rsidRDefault="00CB1F15" w:rsidP="00B96541">
            <w:pPr>
              <w:spacing w:line="360" w:lineRule="auto"/>
              <w:jc w:val="center"/>
            </w:pPr>
            <w:r>
              <w:t>100,12</w:t>
            </w:r>
          </w:p>
        </w:tc>
      </w:tr>
    </w:tbl>
    <w:p w14:paraId="233A7392" w14:textId="77777777" w:rsidR="00D0257F" w:rsidRDefault="00D0257F" w:rsidP="0087632F">
      <w:pPr>
        <w:spacing w:line="360" w:lineRule="auto"/>
      </w:pPr>
    </w:p>
    <w:p w14:paraId="791ABB06" w14:textId="77777777" w:rsidR="00864619" w:rsidRDefault="00864619" w:rsidP="0087632F">
      <w:pPr>
        <w:spacing w:line="360" w:lineRule="auto"/>
      </w:pPr>
      <w:bookmarkStart w:id="14" w:name="_Hlk162252410"/>
    </w:p>
    <w:p w14:paraId="55103117" w14:textId="77777777" w:rsidR="00864619" w:rsidRDefault="00864619" w:rsidP="0087632F">
      <w:pPr>
        <w:spacing w:line="360" w:lineRule="auto"/>
      </w:pPr>
    </w:p>
    <w:p w14:paraId="59C643F1" w14:textId="1185CCD8" w:rsidR="0087632F" w:rsidRDefault="0087632F" w:rsidP="0087632F">
      <w:pPr>
        <w:spacing w:line="360" w:lineRule="auto"/>
      </w:pPr>
      <w:bookmarkStart w:id="15" w:name="_GoBack"/>
      <w:bookmarkEnd w:id="15"/>
      <w:r w:rsidRPr="00860C12">
        <w:t>U Osijeku 1</w:t>
      </w:r>
      <w:r w:rsidR="00832336">
        <w:t>8. ožujka</w:t>
      </w:r>
      <w:r w:rsidRPr="00860C12">
        <w:t xml:space="preserve"> 202</w:t>
      </w:r>
      <w:r w:rsidR="00832336">
        <w:t>4</w:t>
      </w:r>
      <w:r w:rsidRPr="00860C12">
        <w:t>.</w:t>
      </w:r>
      <w:r w:rsidR="00AB2F87" w:rsidRPr="00860C12">
        <w:t xml:space="preserve"> godine</w:t>
      </w:r>
      <w:r w:rsidR="00083069">
        <w:t>.</w:t>
      </w:r>
    </w:p>
    <w:p w14:paraId="5449C51A" w14:textId="77777777" w:rsidR="00083069" w:rsidRPr="00860C12" w:rsidRDefault="00083069" w:rsidP="0087632F">
      <w:pPr>
        <w:spacing w:line="360" w:lineRule="auto"/>
      </w:pPr>
    </w:p>
    <w:p w14:paraId="26296D69" w14:textId="2E5D1998" w:rsidR="0087632F" w:rsidRPr="00860C12" w:rsidRDefault="0087632F" w:rsidP="0087632F">
      <w:pPr>
        <w:spacing w:line="360" w:lineRule="auto"/>
        <w:ind w:left="5664" w:firstLine="708"/>
        <w:rPr>
          <w:b/>
        </w:rPr>
      </w:pPr>
      <w:r w:rsidRPr="00860C12">
        <w:rPr>
          <w:b/>
        </w:rPr>
        <w:t>DEKAN</w:t>
      </w:r>
    </w:p>
    <w:p w14:paraId="7C0F977F" w14:textId="77777777" w:rsidR="0087632F" w:rsidRPr="00860C12" w:rsidRDefault="0087632F" w:rsidP="0087632F">
      <w:pPr>
        <w:spacing w:line="360" w:lineRule="auto"/>
        <w:ind w:left="5664" w:firstLine="708"/>
        <w:rPr>
          <w:b/>
        </w:rPr>
      </w:pPr>
    </w:p>
    <w:p w14:paraId="7463F448" w14:textId="007B3357" w:rsidR="00DD6682" w:rsidRPr="00860C12" w:rsidRDefault="0087632F" w:rsidP="00976EE3">
      <w:pPr>
        <w:spacing w:line="360" w:lineRule="auto"/>
        <w:ind w:left="5664"/>
      </w:pPr>
      <w:r w:rsidRPr="00860C12">
        <w:rPr>
          <w:b/>
        </w:rPr>
        <w:t xml:space="preserve"> prof. dr. sc. Hrvoje Krstić</w:t>
      </w:r>
      <w:bookmarkEnd w:id="14"/>
    </w:p>
    <w:sectPr w:rsidR="00DD6682" w:rsidRPr="00860C12" w:rsidSect="00083069">
      <w:footerReference w:type="default" r:id="rId4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924A8" w14:textId="77777777" w:rsidR="005707DD" w:rsidRDefault="005707DD">
      <w:r>
        <w:separator/>
      </w:r>
    </w:p>
  </w:endnote>
  <w:endnote w:type="continuationSeparator" w:id="0">
    <w:p w14:paraId="23932E0E" w14:textId="77777777" w:rsidR="005707DD" w:rsidRDefault="0057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08224F62" w14:textId="6AE4609B" w:rsidR="003A5E8E" w:rsidRDefault="003A5E8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57F">
          <w:rPr>
            <w:noProof/>
          </w:rPr>
          <w:t>18</w:t>
        </w:r>
        <w:r>
          <w:fldChar w:fldCharType="end"/>
        </w:r>
      </w:p>
    </w:sdtContent>
  </w:sdt>
  <w:p w14:paraId="274C18C7" w14:textId="77777777" w:rsidR="003A5E8E" w:rsidRDefault="003A5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3FF07" w14:textId="77777777" w:rsidR="005707DD" w:rsidRDefault="005707DD">
      <w:r>
        <w:separator/>
      </w:r>
    </w:p>
  </w:footnote>
  <w:footnote w:type="continuationSeparator" w:id="0">
    <w:p w14:paraId="0541FFD0" w14:textId="77777777" w:rsidR="005707DD" w:rsidRDefault="00570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01F7"/>
    <w:multiLevelType w:val="hybridMultilevel"/>
    <w:tmpl w:val="635C2D06"/>
    <w:lvl w:ilvl="0" w:tplc="25D25AF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233" w:hanging="360"/>
      </w:pPr>
    </w:lvl>
    <w:lvl w:ilvl="2" w:tplc="041A001B">
      <w:start w:val="1"/>
      <w:numFmt w:val="lowerRoman"/>
      <w:lvlText w:val="%3."/>
      <w:lvlJc w:val="right"/>
      <w:pPr>
        <w:ind w:left="1953" w:hanging="180"/>
      </w:pPr>
    </w:lvl>
    <w:lvl w:ilvl="3" w:tplc="041A000F">
      <w:start w:val="1"/>
      <w:numFmt w:val="decimal"/>
      <w:lvlText w:val="%4."/>
      <w:lvlJc w:val="left"/>
      <w:pPr>
        <w:ind w:left="2673" w:hanging="360"/>
      </w:pPr>
    </w:lvl>
    <w:lvl w:ilvl="4" w:tplc="041A0019">
      <w:start w:val="1"/>
      <w:numFmt w:val="lowerLetter"/>
      <w:lvlText w:val="%5."/>
      <w:lvlJc w:val="left"/>
      <w:pPr>
        <w:ind w:left="3393" w:hanging="360"/>
      </w:pPr>
    </w:lvl>
    <w:lvl w:ilvl="5" w:tplc="041A001B">
      <w:start w:val="1"/>
      <w:numFmt w:val="lowerRoman"/>
      <w:lvlText w:val="%6."/>
      <w:lvlJc w:val="right"/>
      <w:pPr>
        <w:ind w:left="4113" w:hanging="180"/>
      </w:pPr>
    </w:lvl>
    <w:lvl w:ilvl="6" w:tplc="041A000F">
      <w:start w:val="1"/>
      <w:numFmt w:val="decimal"/>
      <w:lvlText w:val="%7."/>
      <w:lvlJc w:val="left"/>
      <w:pPr>
        <w:ind w:left="4833" w:hanging="360"/>
      </w:pPr>
    </w:lvl>
    <w:lvl w:ilvl="7" w:tplc="041A0019">
      <w:start w:val="1"/>
      <w:numFmt w:val="lowerLetter"/>
      <w:lvlText w:val="%8."/>
      <w:lvlJc w:val="left"/>
      <w:pPr>
        <w:ind w:left="5553" w:hanging="360"/>
      </w:pPr>
    </w:lvl>
    <w:lvl w:ilvl="8" w:tplc="041A001B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5343F"/>
    <w:multiLevelType w:val="hybridMultilevel"/>
    <w:tmpl w:val="635C2D06"/>
    <w:lvl w:ilvl="0" w:tplc="25D25AF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233" w:hanging="360"/>
      </w:pPr>
    </w:lvl>
    <w:lvl w:ilvl="2" w:tplc="041A001B">
      <w:start w:val="1"/>
      <w:numFmt w:val="lowerRoman"/>
      <w:lvlText w:val="%3."/>
      <w:lvlJc w:val="right"/>
      <w:pPr>
        <w:ind w:left="1953" w:hanging="180"/>
      </w:pPr>
    </w:lvl>
    <w:lvl w:ilvl="3" w:tplc="041A000F">
      <w:start w:val="1"/>
      <w:numFmt w:val="decimal"/>
      <w:lvlText w:val="%4."/>
      <w:lvlJc w:val="left"/>
      <w:pPr>
        <w:ind w:left="2673" w:hanging="360"/>
      </w:pPr>
    </w:lvl>
    <w:lvl w:ilvl="4" w:tplc="041A0019">
      <w:start w:val="1"/>
      <w:numFmt w:val="lowerLetter"/>
      <w:lvlText w:val="%5."/>
      <w:lvlJc w:val="left"/>
      <w:pPr>
        <w:ind w:left="3393" w:hanging="360"/>
      </w:pPr>
    </w:lvl>
    <w:lvl w:ilvl="5" w:tplc="041A001B">
      <w:start w:val="1"/>
      <w:numFmt w:val="lowerRoman"/>
      <w:lvlText w:val="%6."/>
      <w:lvlJc w:val="right"/>
      <w:pPr>
        <w:ind w:left="4113" w:hanging="180"/>
      </w:pPr>
    </w:lvl>
    <w:lvl w:ilvl="6" w:tplc="041A000F">
      <w:start w:val="1"/>
      <w:numFmt w:val="decimal"/>
      <w:lvlText w:val="%7."/>
      <w:lvlJc w:val="left"/>
      <w:pPr>
        <w:ind w:left="4833" w:hanging="360"/>
      </w:pPr>
    </w:lvl>
    <w:lvl w:ilvl="7" w:tplc="041A0019">
      <w:start w:val="1"/>
      <w:numFmt w:val="lowerLetter"/>
      <w:lvlText w:val="%8."/>
      <w:lvlJc w:val="left"/>
      <w:pPr>
        <w:ind w:left="5553" w:hanging="360"/>
      </w:pPr>
    </w:lvl>
    <w:lvl w:ilvl="8" w:tplc="041A001B">
      <w:start w:val="1"/>
      <w:numFmt w:val="lowerRoman"/>
      <w:lvlText w:val="%9."/>
      <w:lvlJc w:val="right"/>
      <w:pPr>
        <w:ind w:left="6273" w:hanging="180"/>
      </w:pPr>
    </w:lvl>
  </w:abstractNum>
  <w:abstractNum w:abstractNumId="8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56DD8"/>
    <w:multiLevelType w:val="hybridMultilevel"/>
    <w:tmpl w:val="B74C8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1388F"/>
    <w:multiLevelType w:val="hybridMultilevel"/>
    <w:tmpl w:val="440AB0D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014F3"/>
    <w:multiLevelType w:val="hybridMultilevel"/>
    <w:tmpl w:val="B61E2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513F4"/>
    <w:multiLevelType w:val="hybridMultilevel"/>
    <w:tmpl w:val="07B88BA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6"/>
  </w:num>
  <w:num w:numId="4">
    <w:abstractNumId w:val="20"/>
  </w:num>
  <w:num w:numId="5">
    <w:abstractNumId w:val="4"/>
  </w:num>
  <w:num w:numId="6">
    <w:abstractNumId w:val="5"/>
  </w:num>
  <w:num w:numId="7">
    <w:abstractNumId w:val="18"/>
  </w:num>
  <w:num w:numId="8">
    <w:abstractNumId w:val="1"/>
  </w:num>
  <w:num w:numId="9">
    <w:abstractNumId w:val="24"/>
  </w:num>
  <w:num w:numId="10">
    <w:abstractNumId w:val="14"/>
  </w:num>
  <w:num w:numId="11">
    <w:abstractNumId w:val="17"/>
  </w:num>
  <w:num w:numId="12">
    <w:abstractNumId w:val="3"/>
  </w:num>
  <w:num w:numId="13">
    <w:abstractNumId w:val="21"/>
  </w:num>
  <w:num w:numId="14">
    <w:abstractNumId w:val="2"/>
  </w:num>
  <w:num w:numId="15">
    <w:abstractNumId w:val="13"/>
  </w:num>
  <w:num w:numId="16">
    <w:abstractNumId w:val="16"/>
  </w:num>
  <w:num w:numId="17">
    <w:abstractNumId w:val="11"/>
  </w:num>
  <w:num w:numId="18">
    <w:abstractNumId w:val="8"/>
  </w:num>
  <w:num w:numId="19">
    <w:abstractNumId w:val="19"/>
  </w:num>
  <w:num w:numId="20">
    <w:abstractNumId w:val="10"/>
  </w:num>
  <w:num w:numId="21">
    <w:abstractNumId w:val="7"/>
  </w:num>
  <w:num w:numId="22">
    <w:abstractNumId w:val="23"/>
  </w:num>
  <w:num w:numId="23">
    <w:abstractNumId w:val="0"/>
  </w:num>
  <w:num w:numId="24">
    <w:abstractNumId w:val="9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04EB"/>
    <w:rsid w:val="00003FC0"/>
    <w:rsid w:val="00006A77"/>
    <w:rsid w:val="00013AE5"/>
    <w:rsid w:val="000211AB"/>
    <w:rsid w:val="00023E1D"/>
    <w:rsid w:val="0003315A"/>
    <w:rsid w:val="00036C80"/>
    <w:rsid w:val="00041AD2"/>
    <w:rsid w:val="00043EFF"/>
    <w:rsid w:val="00045798"/>
    <w:rsid w:val="00045970"/>
    <w:rsid w:val="00045F7B"/>
    <w:rsid w:val="00050D0C"/>
    <w:rsid w:val="00065F16"/>
    <w:rsid w:val="000667F8"/>
    <w:rsid w:val="00066EB7"/>
    <w:rsid w:val="00067BF5"/>
    <w:rsid w:val="00070ACE"/>
    <w:rsid w:val="00076194"/>
    <w:rsid w:val="00077EFE"/>
    <w:rsid w:val="00083069"/>
    <w:rsid w:val="000C7476"/>
    <w:rsid w:val="000D52D6"/>
    <w:rsid w:val="000D6D25"/>
    <w:rsid w:val="000E6000"/>
    <w:rsid w:val="000F0F88"/>
    <w:rsid w:val="000F0FD3"/>
    <w:rsid w:val="000F34AD"/>
    <w:rsid w:val="001001D1"/>
    <w:rsid w:val="00101A02"/>
    <w:rsid w:val="001144ED"/>
    <w:rsid w:val="00121F53"/>
    <w:rsid w:val="00131B25"/>
    <w:rsid w:val="00143B68"/>
    <w:rsid w:val="00143BAD"/>
    <w:rsid w:val="00155799"/>
    <w:rsid w:val="00160275"/>
    <w:rsid w:val="00170E8C"/>
    <w:rsid w:val="00172253"/>
    <w:rsid w:val="00180D0F"/>
    <w:rsid w:val="001865DA"/>
    <w:rsid w:val="00187C26"/>
    <w:rsid w:val="00190034"/>
    <w:rsid w:val="00190056"/>
    <w:rsid w:val="00191335"/>
    <w:rsid w:val="001A283C"/>
    <w:rsid w:val="001A40B0"/>
    <w:rsid w:val="001B0F7A"/>
    <w:rsid w:val="001B29EC"/>
    <w:rsid w:val="001B4B4C"/>
    <w:rsid w:val="001C6323"/>
    <w:rsid w:val="001C76E5"/>
    <w:rsid w:val="001D1697"/>
    <w:rsid w:val="001D74BC"/>
    <w:rsid w:val="001D7F07"/>
    <w:rsid w:val="00211E48"/>
    <w:rsid w:val="00212697"/>
    <w:rsid w:val="00220BF7"/>
    <w:rsid w:val="00221D60"/>
    <w:rsid w:val="00225A8A"/>
    <w:rsid w:val="00226742"/>
    <w:rsid w:val="00227D81"/>
    <w:rsid w:val="0023287D"/>
    <w:rsid w:val="00236B00"/>
    <w:rsid w:val="00241D8A"/>
    <w:rsid w:val="00252380"/>
    <w:rsid w:val="002571C7"/>
    <w:rsid w:val="002579AE"/>
    <w:rsid w:val="0026307B"/>
    <w:rsid w:val="00274910"/>
    <w:rsid w:val="00274DA2"/>
    <w:rsid w:val="002758D9"/>
    <w:rsid w:val="0027599A"/>
    <w:rsid w:val="00276A32"/>
    <w:rsid w:val="00283691"/>
    <w:rsid w:val="002847B1"/>
    <w:rsid w:val="002B0064"/>
    <w:rsid w:val="002B0A74"/>
    <w:rsid w:val="002B373F"/>
    <w:rsid w:val="002B785A"/>
    <w:rsid w:val="002C2710"/>
    <w:rsid w:val="002C4687"/>
    <w:rsid w:val="002C6D61"/>
    <w:rsid w:val="002C7121"/>
    <w:rsid w:val="002D1CD4"/>
    <w:rsid w:val="002D444E"/>
    <w:rsid w:val="002D494D"/>
    <w:rsid w:val="002D5F10"/>
    <w:rsid w:val="002D6EA2"/>
    <w:rsid w:val="002E5AE8"/>
    <w:rsid w:val="002E7831"/>
    <w:rsid w:val="002F377B"/>
    <w:rsid w:val="0030191E"/>
    <w:rsid w:val="00306900"/>
    <w:rsid w:val="00321938"/>
    <w:rsid w:val="00323875"/>
    <w:rsid w:val="003239CD"/>
    <w:rsid w:val="00324025"/>
    <w:rsid w:val="003246FB"/>
    <w:rsid w:val="00344FD0"/>
    <w:rsid w:val="00346EBD"/>
    <w:rsid w:val="003519EA"/>
    <w:rsid w:val="0036134E"/>
    <w:rsid w:val="00362133"/>
    <w:rsid w:val="003634AD"/>
    <w:rsid w:val="00363889"/>
    <w:rsid w:val="00364086"/>
    <w:rsid w:val="00367C03"/>
    <w:rsid w:val="00370306"/>
    <w:rsid w:val="0037230F"/>
    <w:rsid w:val="0037275E"/>
    <w:rsid w:val="00375762"/>
    <w:rsid w:val="0037720D"/>
    <w:rsid w:val="00380EC0"/>
    <w:rsid w:val="003826C9"/>
    <w:rsid w:val="00383CBC"/>
    <w:rsid w:val="0038692B"/>
    <w:rsid w:val="00387286"/>
    <w:rsid w:val="00397C09"/>
    <w:rsid w:val="003A5E8E"/>
    <w:rsid w:val="003B2128"/>
    <w:rsid w:val="003B2CF0"/>
    <w:rsid w:val="003B5BD9"/>
    <w:rsid w:val="003C067F"/>
    <w:rsid w:val="003C418E"/>
    <w:rsid w:val="003C61F1"/>
    <w:rsid w:val="003D59A4"/>
    <w:rsid w:val="003E41AE"/>
    <w:rsid w:val="003E4ADC"/>
    <w:rsid w:val="003F2B51"/>
    <w:rsid w:val="003F7BC0"/>
    <w:rsid w:val="004035C6"/>
    <w:rsid w:val="00421C1A"/>
    <w:rsid w:val="00423640"/>
    <w:rsid w:val="004308F8"/>
    <w:rsid w:val="00431026"/>
    <w:rsid w:val="004426CF"/>
    <w:rsid w:val="00445B23"/>
    <w:rsid w:val="0045015F"/>
    <w:rsid w:val="00452EFC"/>
    <w:rsid w:val="00457A4D"/>
    <w:rsid w:val="00460051"/>
    <w:rsid w:val="004624D3"/>
    <w:rsid w:val="004652FB"/>
    <w:rsid w:val="004656CB"/>
    <w:rsid w:val="00466CA9"/>
    <w:rsid w:val="00471FDB"/>
    <w:rsid w:val="00476D98"/>
    <w:rsid w:val="00480F0D"/>
    <w:rsid w:val="00482C87"/>
    <w:rsid w:val="004830EC"/>
    <w:rsid w:val="00490161"/>
    <w:rsid w:val="00490782"/>
    <w:rsid w:val="00491592"/>
    <w:rsid w:val="00491BDE"/>
    <w:rsid w:val="00493C70"/>
    <w:rsid w:val="00493C83"/>
    <w:rsid w:val="00494F96"/>
    <w:rsid w:val="004A3744"/>
    <w:rsid w:val="004A3BDD"/>
    <w:rsid w:val="004C18EA"/>
    <w:rsid w:val="004C3A59"/>
    <w:rsid w:val="004C5EF9"/>
    <w:rsid w:val="004D29B2"/>
    <w:rsid w:val="004D2B59"/>
    <w:rsid w:val="004D3791"/>
    <w:rsid w:val="004D75AF"/>
    <w:rsid w:val="004E02C5"/>
    <w:rsid w:val="004E2D08"/>
    <w:rsid w:val="004E45E7"/>
    <w:rsid w:val="004F44D5"/>
    <w:rsid w:val="004F75E6"/>
    <w:rsid w:val="00502D6C"/>
    <w:rsid w:val="00515C2D"/>
    <w:rsid w:val="00515D93"/>
    <w:rsid w:val="00516E07"/>
    <w:rsid w:val="005250B7"/>
    <w:rsid w:val="005433EC"/>
    <w:rsid w:val="00544159"/>
    <w:rsid w:val="0054483D"/>
    <w:rsid w:val="00545E7B"/>
    <w:rsid w:val="00547116"/>
    <w:rsid w:val="0055113A"/>
    <w:rsid w:val="00553BF5"/>
    <w:rsid w:val="00556217"/>
    <w:rsid w:val="0056043D"/>
    <w:rsid w:val="005655A6"/>
    <w:rsid w:val="005707DD"/>
    <w:rsid w:val="005719A9"/>
    <w:rsid w:val="005739CC"/>
    <w:rsid w:val="00583485"/>
    <w:rsid w:val="00585281"/>
    <w:rsid w:val="00594DBB"/>
    <w:rsid w:val="005A063C"/>
    <w:rsid w:val="005A1530"/>
    <w:rsid w:val="005A25E7"/>
    <w:rsid w:val="005B0355"/>
    <w:rsid w:val="005B0F4D"/>
    <w:rsid w:val="005B1FDB"/>
    <w:rsid w:val="005B6076"/>
    <w:rsid w:val="005C1A30"/>
    <w:rsid w:val="005C5306"/>
    <w:rsid w:val="005D28E5"/>
    <w:rsid w:val="005D64E7"/>
    <w:rsid w:val="005E2C15"/>
    <w:rsid w:val="005E33D5"/>
    <w:rsid w:val="005F6650"/>
    <w:rsid w:val="005F6676"/>
    <w:rsid w:val="006001F4"/>
    <w:rsid w:val="00606337"/>
    <w:rsid w:val="00613CD1"/>
    <w:rsid w:val="00626896"/>
    <w:rsid w:val="006276BD"/>
    <w:rsid w:val="00634617"/>
    <w:rsid w:val="00634A5F"/>
    <w:rsid w:val="00636135"/>
    <w:rsid w:val="00636E61"/>
    <w:rsid w:val="00645872"/>
    <w:rsid w:val="006462EB"/>
    <w:rsid w:val="006521CA"/>
    <w:rsid w:val="00666D7D"/>
    <w:rsid w:val="00675A16"/>
    <w:rsid w:val="00675A84"/>
    <w:rsid w:val="0067608F"/>
    <w:rsid w:val="006764F8"/>
    <w:rsid w:val="00682DF4"/>
    <w:rsid w:val="0069359C"/>
    <w:rsid w:val="00693BD9"/>
    <w:rsid w:val="00694F91"/>
    <w:rsid w:val="006A22E8"/>
    <w:rsid w:val="006A734B"/>
    <w:rsid w:val="006C3D72"/>
    <w:rsid w:val="006E0660"/>
    <w:rsid w:val="006E0C0D"/>
    <w:rsid w:val="006E2D4D"/>
    <w:rsid w:val="006E4B89"/>
    <w:rsid w:val="006E6D1A"/>
    <w:rsid w:val="006F42EA"/>
    <w:rsid w:val="006F5BFD"/>
    <w:rsid w:val="006F6895"/>
    <w:rsid w:val="006F6DA7"/>
    <w:rsid w:val="00702242"/>
    <w:rsid w:val="00703212"/>
    <w:rsid w:val="0070462F"/>
    <w:rsid w:val="00707536"/>
    <w:rsid w:val="00711BFB"/>
    <w:rsid w:val="0072413C"/>
    <w:rsid w:val="00727677"/>
    <w:rsid w:val="00731E3B"/>
    <w:rsid w:val="00732D50"/>
    <w:rsid w:val="00736B26"/>
    <w:rsid w:val="007402A2"/>
    <w:rsid w:val="00741E06"/>
    <w:rsid w:val="007455C0"/>
    <w:rsid w:val="00746C8B"/>
    <w:rsid w:val="00757950"/>
    <w:rsid w:val="007703A8"/>
    <w:rsid w:val="00771647"/>
    <w:rsid w:val="00771FFB"/>
    <w:rsid w:val="00774297"/>
    <w:rsid w:val="00776390"/>
    <w:rsid w:val="007769E7"/>
    <w:rsid w:val="007774CD"/>
    <w:rsid w:val="00780559"/>
    <w:rsid w:val="00783ADD"/>
    <w:rsid w:val="007903F1"/>
    <w:rsid w:val="0079091F"/>
    <w:rsid w:val="00792F27"/>
    <w:rsid w:val="00793F21"/>
    <w:rsid w:val="007953B0"/>
    <w:rsid w:val="0079703C"/>
    <w:rsid w:val="007A3E1E"/>
    <w:rsid w:val="007A482D"/>
    <w:rsid w:val="007B5E44"/>
    <w:rsid w:val="007D4980"/>
    <w:rsid w:val="007D7BDE"/>
    <w:rsid w:val="007E33B2"/>
    <w:rsid w:val="007E54AC"/>
    <w:rsid w:val="007F2DA1"/>
    <w:rsid w:val="00803ADE"/>
    <w:rsid w:val="00810045"/>
    <w:rsid w:val="0081052D"/>
    <w:rsid w:val="00812B7F"/>
    <w:rsid w:val="0081353B"/>
    <w:rsid w:val="00814E41"/>
    <w:rsid w:val="008202C4"/>
    <w:rsid w:val="00821005"/>
    <w:rsid w:val="0082125B"/>
    <w:rsid w:val="008223B8"/>
    <w:rsid w:val="00827D1E"/>
    <w:rsid w:val="00830639"/>
    <w:rsid w:val="00832336"/>
    <w:rsid w:val="0084157C"/>
    <w:rsid w:val="00842199"/>
    <w:rsid w:val="00846E65"/>
    <w:rsid w:val="0084740C"/>
    <w:rsid w:val="00860859"/>
    <w:rsid w:val="00860C12"/>
    <w:rsid w:val="00861CCD"/>
    <w:rsid w:val="00864619"/>
    <w:rsid w:val="00871EA9"/>
    <w:rsid w:val="008750BD"/>
    <w:rsid w:val="0087632F"/>
    <w:rsid w:val="008818C4"/>
    <w:rsid w:val="00881DC7"/>
    <w:rsid w:val="00882E6E"/>
    <w:rsid w:val="00884256"/>
    <w:rsid w:val="00887925"/>
    <w:rsid w:val="00891C15"/>
    <w:rsid w:val="008928D0"/>
    <w:rsid w:val="00893697"/>
    <w:rsid w:val="008A3158"/>
    <w:rsid w:val="008A3F40"/>
    <w:rsid w:val="008A5592"/>
    <w:rsid w:val="008B45D8"/>
    <w:rsid w:val="008C12C7"/>
    <w:rsid w:val="008C17D3"/>
    <w:rsid w:val="008C73A5"/>
    <w:rsid w:val="008D3632"/>
    <w:rsid w:val="008D649E"/>
    <w:rsid w:val="008E155C"/>
    <w:rsid w:val="008E28C7"/>
    <w:rsid w:val="008E308B"/>
    <w:rsid w:val="00900BF2"/>
    <w:rsid w:val="00904800"/>
    <w:rsid w:val="00913F14"/>
    <w:rsid w:val="009204F9"/>
    <w:rsid w:val="00926865"/>
    <w:rsid w:val="00930ADA"/>
    <w:rsid w:val="00935D2B"/>
    <w:rsid w:val="009436F7"/>
    <w:rsid w:val="00944C25"/>
    <w:rsid w:val="0094546E"/>
    <w:rsid w:val="00953A7E"/>
    <w:rsid w:val="00954371"/>
    <w:rsid w:val="00960F22"/>
    <w:rsid w:val="0096543D"/>
    <w:rsid w:val="00967C08"/>
    <w:rsid w:val="00976EE3"/>
    <w:rsid w:val="009826B3"/>
    <w:rsid w:val="0098431D"/>
    <w:rsid w:val="00985D0F"/>
    <w:rsid w:val="0099491E"/>
    <w:rsid w:val="00996C61"/>
    <w:rsid w:val="009A331F"/>
    <w:rsid w:val="009A65A8"/>
    <w:rsid w:val="009B14BC"/>
    <w:rsid w:val="009C27E7"/>
    <w:rsid w:val="009C4DD8"/>
    <w:rsid w:val="009C67A3"/>
    <w:rsid w:val="009C7D52"/>
    <w:rsid w:val="009D0294"/>
    <w:rsid w:val="009D1474"/>
    <w:rsid w:val="009D1DF0"/>
    <w:rsid w:val="009E1A2D"/>
    <w:rsid w:val="009E1A7C"/>
    <w:rsid w:val="009E2203"/>
    <w:rsid w:val="009E6DC8"/>
    <w:rsid w:val="009E7631"/>
    <w:rsid w:val="009F3FB7"/>
    <w:rsid w:val="009F7A6C"/>
    <w:rsid w:val="009F7AED"/>
    <w:rsid w:val="00A019FD"/>
    <w:rsid w:val="00A2500A"/>
    <w:rsid w:val="00A36A37"/>
    <w:rsid w:val="00A40249"/>
    <w:rsid w:val="00A4044E"/>
    <w:rsid w:val="00A4485A"/>
    <w:rsid w:val="00A45D8E"/>
    <w:rsid w:val="00A54910"/>
    <w:rsid w:val="00A70E85"/>
    <w:rsid w:val="00A83F23"/>
    <w:rsid w:val="00A85345"/>
    <w:rsid w:val="00A93E2D"/>
    <w:rsid w:val="00A97E93"/>
    <w:rsid w:val="00AB0F40"/>
    <w:rsid w:val="00AB2F87"/>
    <w:rsid w:val="00AC15D1"/>
    <w:rsid w:val="00AC1EE9"/>
    <w:rsid w:val="00AC1F88"/>
    <w:rsid w:val="00AC2006"/>
    <w:rsid w:val="00AC458C"/>
    <w:rsid w:val="00AC58DA"/>
    <w:rsid w:val="00AE6AAC"/>
    <w:rsid w:val="00B00316"/>
    <w:rsid w:val="00B177B7"/>
    <w:rsid w:val="00B2028B"/>
    <w:rsid w:val="00B256DB"/>
    <w:rsid w:val="00B27A9A"/>
    <w:rsid w:val="00B3069B"/>
    <w:rsid w:val="00B31535"/>
    <w:rsid w:val="00B317C7"/>
    <w:rsid w:val="00B37FF6"/>
    <w:rsid w:val="00B43445"/>
    <w:rsid w:val="00B4413C"/>
    <w:rsid w:val="00B47B14"/>
    <w:rsid w:val="00B509CD"/>
    <w:rsid w:val="00B5154B"/>
    <w:rsid w:val="00B52883"/>
    <w:rsid w:val="00B646F2"/>
    <w:rsid w:val="00B6509B"/>
    <w:rsid w:val="00B67D9E"/>
    <w:rsid w:val="00B71DFF"/>
    <w:rsid w:val="00B7598C"/>
    <w:rsid w:val="00B83940"/>
    <w:rsid w:val="00B96541"/>
    <w:rsid w:val="00BA02FD"/>
    <w:rsid w:val="00BA7BBD"/>
    <w:rsid w:val="00BB47B9"/>
    <w:rsid w:val="00BC2AF2"/>
    <w:rsid w:val="00BC4178"/>
    <w:rsid w:val="00BC7079"/>
    <w:rsid w:val="00BD1A98"/>
    <w:rsid w:val="00BD4DEB"/>
    <w:rsid w:val="00BD7FDD"/>
    <w:rsid w:val="00BE2C27"/>
    <w:rsid w:val="00BE741E"/>
    <w:rsid w:val="00BF50B1"/>
    <w:rsid w:val="00C02CA2"/>
    <w:rsid w:val="00C07DD8"/>
    <w:rsid w:val="00C14C38"/>
    <w:rsid w:val="00C24A7C"/>
    <w:rsid w:val="00C25356"/>
    <w:rsid w:val="00C3197A"/>
    <w:rsid w:val="00C35A67"/>
    <w:rsid w:val="00C35DF3"/>
    <w:rsid w:val="00C41FE8"/>
    <w:rsid w:val="00C5114D"/>
    <w:rsid w:val="00C51C46"/>
    <w:rsid w:val="00C53D67"/>
    <w:rsid w:val="00C54B88"/>
    <w:rsid w:val="00C6077A"/>
    <w:rsid w:val="00C65BF9"/>
    <w:rsid w:val="00C70BDB"/>
    <w:rsid w:val="00C72A6C"/>
    <w:rsid w:val="00C73478"/>
    <w:rsid w:val="00C77AFA"/>
    <w:rsid w:val="00C82588"/>
    <w:rsid w:val="00C83B9C"/>
    <w:rsid w:val="00C84559"/>
    <w:rsid w:val="00C8461E"/>
    <w:rsid w:val="00C92CD8"/>
    <w:rsid w:val="00C93D5D"/>
    <w:rsid w:val="00C97A9D"/>
    <w:rsid w:val="00CA39AB"/>
    <w:rsid w:val="00CB1F15"/>
    <w:rsid w:val="00CB21EC"/>
    <w:rsid w:val="00CB251E"/>
    <w:rsid w:val="00CB3DDE"/>
    <w:rsid w:val="00CB764D"/>
    <w:rsid w:val="00CD0421"/>
    <w:rsid w:val="00CD3809"/>
    <w:rsid w:val="00CD4C78"/>
    <w:rsid w:val="00CD6F70"/>
    <w:rsid w:val="00CD79FD"/>
    <w:rsid w:val="00CE1FF6"/>
    <w:rsid w:val="00CE4907"/>
    <w:rsid w:val="00CE4CAE"/>
    <w:rsid w:val="00CE5444"/>
    <w:rsid w:val="00CE54B3"/>
    <w:rsid w:val="00CF0E04"/>
    <w:rsid w:val="00CF5FBD"/>
    <w:rsid w:val="00D0257F"/>
    <w:rsid w:val="00D04B44"/>
    <w:rsid w:val="00D148B8"/>
    <w:rsid w:val="00D268A6"/>
    <w:rsid w:val="00D27D68"/>
    <w:rsid w:val="00D27F46"/>
    <w:rsid w:val="00D32AAB"/>
    <w:rsid w:val="00D425A1"/>
    <w:rsid w:val="00D425F1"/>
    <w:rsid w:val="00D525B5"/>
    <w:rsid w:val="00D60643"/>
    <w:rsid w:val="00D64296"/>
    <w:rsid w:val="00D7530A"/>
    <w:rsid w:val="00D855FB"/>
    <w:rsid w:val="00D90DA7"/>
    <w:rsid w:val="00DA2032"/>
    <w:rsid w:val="00DA40BC"/>
    <w:rsid w:val="00DA54BD"/>
    <w:rsid w:val="00DA7AFE"/>
    <w:rsid w:val="00DB7043"/>
    <w:rsid w:val="00DB786A"/>
    <w:rsid w:val="00DB797F"/>
    <w:rsid w:val="00DC3839"/>
    <w:rsid w:val="00DD1F3C"/>
    <w:rsid w:val="00DD2316"/>
    <w:rsid w:val="00DD56A8"/>
    <w:rsid w:val="00DD6682"/>
    <w:rsid w:val="00DE3B7E"/>
    <w:rsid w:val="00DE68A8"/>
    <w:rsid w:val="00DE7EE5"/>
    <w:rsid w:val="00DF42F7"/>
    <w:rsid w:val="00E012C5"/>
    <w:rsid w:val="00E10E9D"/>
    <w:rsid w:val="00E209D9"/>
    <w:rsid w:val="00E32762"/>
    <w:rsid w:val="00E34F8C"/>
    <w:rsid w:val="00E45CD5"/>
    <w:rsid w:val="00E47E64"/>
    <w:rsid w:val="00E52935"/>
    <w:rsid w:val="00E53E42"/>
    <w:rsid w:val="00E635FF"/>
    <w:rsid w:val="00E65D86"/>
    <w:rsid w:val="00E71BD9"/>
    <w:rsid w:val="00E83448"/>
    <w:rsid w:val="00E94982"/>
    <w:rsid w:val="00EB077E"/>
    <w:rsid w:val="00EC0281"/>
    <w:rsid w:val="00EC5282"/>
    <w:rsid w:val="00EC5424"/>
    <w:rsid w:val="00ED0C1D"/>
    <w:rsid w:val="00ED34A1"/>
    <w:rsid w:val="00EE3E7B"/>
    <w:rsid w:val="00EE4435"/>
    <w:rsid w:val="00EE5D22"/>
    <w:rsid w:val="00EE6E73"/>
    <w:rsid w:val="00EF05CF"/>
    <w:rsid w:val="00F01317"/>
    <w:rsid w:val="00F0672D"/>
    <w:rsid w:val="00F12286"/>
    <w:rsid w:val="00F12F7A"/>
    <w:rsid w:val="00F209F8"/>
    <w:rsid w:val="00F26B96"/>
    <w:rsid w:val="00F46366"/>
    <w:rsid w:val="00F46A68"/>
    <w:rsid w:val="00F507C7"/>
    <w:rsid w:val="00F5665F"/>
    <w:rsid w:val="00F5739D"/>
    <w:rsid w:val="00F748B2"/>
    <w:rsid w:val="00F7638D"/>
    <w:rsid w:val="00F80198"/>
    <w:rsid w:val="00F802AA"/>
    <w:rsid w:val="00F815A6"/>
    <w:rsid w:val="00F92302"/>
    <w:rsid w:val="00F92422"/>
    <w:rsid w:val="00F945B2"/>
    <w:rsid w:val="00F957EB"/>
    <w:rsid w:val="00FA220D"/>
    <w:rsid w:val="00FA723D"/>
    <w:rsid w:val="00FB24BA"/>
    <w:rsid w:val="00FD41A7"/>
    <w:rsid w:val="00FD53A5"/>
    <w:rsid w:val="00FD56C5"/>
    <w:rsid w:val="00FE65F2"/>
    <w:rsid w:val="00FF4A36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AA4F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2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C51C46"/>
  </w:style>
  <w:style w:type="paragraph" w:styleId="Normal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51C4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paragraph" w:customStyle="1" w:styleId="Default">
    <w:name w:val="Default"/>
    <w:rsid w:val="00827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2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0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56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ktorski-zbor.hr/fileadmin/rektorat/O_Sveucilistu/Tijela_sluzbe/Rektorski_zbor/dokumenti/NN_120_2021_Odluka_o_izmjeni_i_dopuni_Odluke_o_nuznim_uvjetima_za_ocjenu_nastavne_i_znanstveno-strucne_djelatnosti_u_postupku_izbora_u_znanstveno-nastavna_zvanja.pdf" TargetMode="External"/><Relationship Id="rId18" Type="http://schemas.openxmlformats.org/officeDocument/2006/relationships/hyperlink" Target="http://www.gfos.unios.hr/download/statut-sveucilista-josipa-jurja-strossmayera-u-osijeku-ozujak-2023.pdf" TargetMode="External"/><Relationship Id="rId26" Type="http://schemas.openxmlformats.org/officeDocument/2006/relationships/hyperlink" Target="http://www.gfos.unios.hr/download/pravilnik-o-sprjecavanju-nepotizma.pdf" TargetMode="External"/><Relationship Id="rId39" Type="http://schemas.openxmlformats.org/officeDocument/2006/relationships/hyperlink" Target="http://www.gfos.unios.hr/download/pravilnik-o-kvaliteti-2019.pdf" TargetMode="External"/><Relationship Id="rId21" Type="http://schemas.openxmlformats.org/officeDocument/2006/relationships/hyperlink" Target="http://www.gfos.unios.hr/download/pravilnik-o-raspisivanju-i-provedbi-javnih-natjecaja-na-sveucilistu-josipa-jurja-strossmayera-u-osijeku.pdf" TargetMode="External"/><Relationship Id="rId34" Type="http://schemas.openxmlformats.org/officeDocument/2006/relationships/hyperlink" Target="http://www.gfos.unios.hr/download/pravilnik-o-popisu-imovine-i-obveza-i-postupanju-s-imovinom-1.pdf" TargetMode="External"/><Relationship Id="rId42" Type="http://schemas.openxmlformats.org/officeDocument/2006/relationships/hyperlink" Target="http://www.gfos.unios.hr/download/pravilnik-o-nastavnim-i-strucnim-bazama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arodne-novine.nn.hr/clanci/sluzbeni/2022_09_111_1637.html" TargetMode="External"/><Relationship Id="rId29" Type="http://schemas.openxmlformats.org/officeDocument/2006/relationships/hyperlink" Target="http://www.gfos.unios.hr/download/pravilnik-o-studijima-i-studiranju-na-sveucilistu-josipa-jurja-strossmayera-u-osijeku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ktorski-zbor.hr/fileadmin/rektorat/O_Sveucilistu/Tijela_sluzbe/Rektorski_zbor/dokumenti/NN_120_2021_Odluka_o_izmjeni_i_dopuni_Odluke_o_nuznim_uvjetima_za_ocjenu_nastavne_i_strucne_djelatnosti_u_postupku_izbora_u_nastavna_zvanja.pdf" TargetMode="External"/><Relationship Id="rId24" Type="http://schemas.openxmlformats.org/officeDocument/2006/relationships/hyperlink" Target="http://www.gfos.unios.hr/download/pravilnik-o-financijskom-poslovanju-procisceni-tekst.pdf" TargetMode="External"/><Relationship Id="rId32" Type="http://schemas.openxmlformats.org/officeDocument/2006/relationships/hyperlink" Target="http://www.gfos.unios.hr/download/pravilnik-o-uvjetima-i-nacinu-ostvarivanja-prava-na-dodjelu-studentskih-stipendija-i-potpora-sveucilista-josipa-jurja-strossmayera-u-osijeku.pdf" TargetMode="External"/><Relationship Id="rId37" Type="http://schemas.openxmlformats.org/officeDocument/2006/relationships/hyperlink" Target="http://www.gfos.unios.hr/download/pravilnik-o-postupku-unutarneg-prijavaljivnja-nepravilnositi-lipanj-2022.pdf" TargetMode="External"/><Relationship Id="rId40" Type="http://schemas.openxmlformats.org/officeDocument/2006/relationships/hyperlink" Target="http://www.gfos.unios.hr/download/pravilnik-o-zavrsnim-i-diplomskim-ispitima-procisceni-s-potpisima.pdf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arodne-novine.nn.hr/clanci/sluzbeni/2017_03_28_652.html" TargetMode="External"/><Relationship Id="rId23" Type="http://schemas.openxmlformats.org/officeDocument/2006/relationships/hyperlink" Target="http://www.gfos.unios.hr/download/odluka-o-izmjenama-i-dopunama-pravilnikao-ustroju-i-djelovanju-sustava-za-osiguranje-kvalitete.pdf" TargetMode="External"/><Relationship Id="rId28" Type="http://schemas.openxmlformats.org/officeDocument/2006/relationships/hyperlink" Target="http://www.gfos.unios.hr/download/pravilnik-o-stegovnoj-odgovornosti-studenata.pdf" TargetMode="External"/><Relationship Id="rId36" Type="http://schemas.openxmlformats.org/officeDocument/2006/relationships/hyperlink" Target="http://www.gfos.unios.hr/download/pravilnik-o-koristenju-sluzbenog-vozila.pdf" TargetMode="External"/><Relationship Id="rId10" Type="http://schemas.openxmlformats.org/officeDocument/2006/relationships/hyperlink" Target="http://www.rektorski-zbor.hr/fileadmin/rektorat/O_Sveucilistu/Tijela_sluzbe/Rektorski_zbor/dokumenti/nn_13_2012_odluka_o_nuznim_uvjetima_izbor_u_zvanja.pdf" TargetMode="External"/><Relationship Id="rId19" Type="http://schemas.openxmlformats.org/officeDocument/2006/relationships/hyperlink" Target="http://www.gfos.unios.hr/download/statut-gradevinskog-i-arhitektonskog-fakulteta-osijek-2023.pdf" TargetMode="External"/><Relationship Id="rId31" Type="http://schemas.openxmlformats.org/officeDocument/2006/relationships/hyperlink" Target="http://www.gfos.unios.hr/download/pravilnik-o-ustroju-i-djelovanju-sustava-za-osiguranje-kvalitete-na-sveucilistu-josipa-jurja-strossmayera-u-osijeku.pdf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ektorski-zbor.hr/fileadmin/rektorat/O_Sveucilistu/Tijela_sluzbe/Rektorski_zbor/dokumenti/odluka_o_obliku_i_nacinu_provedbe_nastupnog_predavanja_za_izbor_u_znanstveno-nastavna_zvanja_umjetniko-nastavna_zvanja_i_nastavna_zvanja_nn_129_2005__2_.pdf" TargetMode="External"/><Relationship Id="rId14" Type="http://schemas.openxmlformats.org/officeDocument/2006/relationships/hyperlink" Target="http://www.rektorski-zbor.hr/fileadmin/rektorski_zborRH/dokumenti/Odluka_minimalni_uvjeti_za_reizbor_NN_24_2021.pdf" TargetMode="External"/><Relationship Id="rId22" Type="http://schemas.openxmlformats.org/officeDocument/2006/relationships/hyperlink" Target="http://www.gfos.unios.hr/download/eticki-kodeks-sveucilista-josipa-jurja-strossmayera-u-osijeku.pdf" TargetMode="External"/><Relationship Id="rId27" Type="http://schemas.openxmlformats.org/officeDocument/2006/relationships/hyperlink" Target="http://www.gfos.unios.hr/download/pravilnik-o-stegovnoj-odgovornosti-nastavnika-i-suradnika-sveucilista-josipa-jurja-strossmayera-u-osijeku.pdf" TargetMode="External"/><Relationship Id="rId30" Type="http://schemas.openxmlformats.org/officeDocument/2006/relationships/hyperlink" Target="http://www.gfos.unios.hr/download/pravilnik-o-sukobima-interesa-i-obveza.pdf" TargetMode="External"/><Relationship Id="rId35" Type="http://schemas.openxmlformats.org/officeDocument/2006/relationships/hyperlink" Target="http://www.gfos.unios.hr/download/pravilnik-o-radu-gradevinskog-i-arhitektonskog-fakulteta-osijek-sijecanj-2022.pdf" TargetMode="External"/><Relationship Id="rId43" Type="http://schemas.openxmlformats.org/officeDocument/2006/relationships/hyperlink" Target="http://www.gfos.unios.hr/download/pravilnik-o-obveznoj-strucnoj-praksi-studenata.pdf" TargetMode="External"/><Relationship Id="rId8" Type="http://schemas.openxmlformats.org/officeDocument/2006/relationships/hyperlink" Target="https://narodne-novine.nn.hr/clanci/sluzbeni/2022_10_119_1834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rektorski-zbor.hr/fileadmin/rektorat/O_Sveucilistu/Tijela_sluzbe/Rektorski_zbor/dokumenti2/Odluka_Rektorskog_zbora_o_uvjetima_za_izbor_u_znanstveno-nastavna_zvanja_NN_106_2006.pdf" TargetMode="External"/><Relationship Id="rId17" Type="http://schemas.openxmlformats.org/officeDocument/2006/relationships/hyperlink" Target="http://www.gfos.unios.hr/download/pravilnik-o-provedbi-postupka-izbora-reizbora-u-zvanja-i-na-odgovarajuca-radna-mjesta-sveucilista-josipa-jurja-strossmayera-u-osijeku-procisceni-tekst.pdf" TargetMode="External"/><Relationship Id="rId25" Type="http://schemas.openxmlformats.org/officeDocument/2006/relationships/hyperlink" Target="http://www.gfos.unios.hr/download/pravilnik-o-poslijediplomskim-studijima-na-sveucilistu-josipa-jurja-strossmayera-u-osijeku.pdf" TargetMode="External"/><Relationship Id="rId33" Type="http://schemas.openxmlformats.org/officeDocument/2006/relationships/hyperlink" Target="http://www.gfos.unios.hr/download/pravilnik-o-vrednovanju-rada-asistenata-poslijedoktoranada-i-mentora.pdf" TargetMode="External"/><Relationship Id="rId38" Type="http://schemas.openxmlformats.org/officeDocument/2006/relationships/hyperlink" Target="http://www.gfos.unios.hr/download/pravilnik-o-zastiti-osobnih-podataka-grafos-2019-2.pdf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unios.hr/wp-content/uploads/2020/01/Pravilnik-izdava%C4%8Dka-djelatnost-20200122.pdf" TargetMode="External"/><Relationship Id="rId41" Type="http://schemas.openxmlformats.org/officeDocument/2006/relationships/hyperlink" Target="http://www.gfos.unios.hr/download/pravila-za-upravljanje-dokumentarnim-gradivo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76EAD-533E-4DF9-8F6C-BC589CF9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18</Pages>
  <Words>5417</Words>
  <Characters>30883</Characters>
  <Application>Microsoft Office Word</Application>
  <DocSecurity>0</DocSecurity>
  <Lines>257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GFOS</cp:lastModifiedBy>
  <cp:revision>17</cp:revision>
  <cp:lastPrinted>2024-03-25T08:37:00Z</cp:lastPrinted>
  <dcterms:created xsi:type="dcterms:W3CDTF">2024-03-20T06:43:00Z</dcterms:created>
  <dcterms:modified xsi:type="dcterms:W3CDTF">2024-03-27T12:39:00Z</dcterms:modified>
</cp:coreProperties>
</file>