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2176"/>
        <w:gridCol w:w="2176"/>
        <w:gridCol w:w="1115"/>
        <w:gridCol w:w="2419"/>
      </w:tblGrid>
      <w:tr w:rsidR="00044A9F" w:rsidTr="00225FB7">
        <w:tc>
          <w:tcPr>
            <w:tcW w:w="1176" w:type="dxa"/>
            <w:shd w:val="clear" w:color="auto" w:fill="D9D9D9" w:themeFill="background1" w:themeFillShade="D9"/>
          </w:tcPr>
          <w:p w:rsidR="00044A9F" w:rsidRDefault="00044A9F">
            <w:r>
              <w:t>vrijeme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:rsidR="00044A9F" w:rsidRDefault="00044A9F">
            <w:r>
              <w:t>ČETVRTAK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:rsidR="00044A9F" w:rsidRDefault="00044A9F">
            <w:r>
              <w:t>PETAK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044A9F" w:rsidRDefault="00044A9F">
            <w:r>
              <w:t>vrijeme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:rsidR="00044A9F" w:rsidRDefault="00044A9F">
            <w:r>
              <w:t>SUBOTA</w:t>
            </w:r>
          </w:p>
        </w:tc>
      </w:tr>
      <w:tr w:rsidR="00633921" w:rsidTr="00633921">
        <w:tc>
          <w:tcPr>
            <w:tcW w:w="1176" w:type="dxa"/>
          </w:tcPr>
          <w:p w:rsidR="00633921" w:rsidRDefault="00633921" w:rsidP="00633921">
            <w:r>
              <w:t>14-15</w:t>
            </w:r>
          </w:p>
        </w:tc>
        <w:tc>
          <w:tcPr>
            <w:tcW w:w="2176" w:type="dxa"/>
            <w:vMerge w:val="restart"/>
            <w:shd w:val="clear" w:color="auto" w:fill="FBE4D5" w:themeFill="accent2" w:themeFillTint="33"/>
          </w:tcPr>
          <w:p w:rsidR="00633921" w:rsidRDefault="00633921" w:rsidP="00633921">
            <w:r w:rsidRPr="00044A9F">
              <w:t>Ugovori u graditeljstvu pred. + vj. (Krstić)</w:t>
            </w:r>
          </w:p>
        </w:tc>
        <w:tc>
          <w:tcPr>
            <w:tcW w:w="2176" w:type="dxa"/>
            <w:vMerge w:val="restart"/>
            <w:shd w:val="clear" w:color="auto" w:fill="E2EFD9" w:themeFill="accent6" w:themeFillTint="33"/>
          </w:tcPr>
          <w:p w:rsidR="00633921" w:rsidRDefault="00633921" w:rsidP="00633921">
            <w:r w:rsidRPr="00044A9F">
              <w:t>Poslovna etika i kultura komunikacije pred. (Čulo)</w:t>
            </w:r>
          </w:p>
        </w:tc>
        <w:tc>
          <w:tcPr>
            <w:tcW w:w="1115" w:type="dxa"/>
          </w:tcPr>
          <w:p w:rsidR="00633921" w:rsidRDefault="00633921" w:rsidP="00633921">
            <w:r>
              <w:t>09-10</w:t>
            </w:r>
          </w:p>
        </w:tc>
        <w:tc>
          <w:tcPr>
            <w:tcW w:w="2419" w:type="dxa"/>
            <w:vMerge w:val="restart"/>
            <w:shd w:val="clear" w:color="auto" w:fill="A1EBF5"/>
          </w:tcPr>
          <w:p w:rsidR="00633921" w:rsidRDefault="00633921" w:rsidP="00633921">
            <w:r w:rsidRPr="00044A9F">
              <w:t>Sanacija konstrukcija građevina pred.+vj. (</w:t>
            </w:r>
            <w:r>
              <w:t>Kraus</w:t>
            </w:r>
            <w:r w:rsidRPr="00044A9F">
              <w:t>)</w:t>
            </w:r>
          </w:p>
        </w:tc>
      </w:tr>
      <w:tr w:rsidR="00633921" w:rsidTr="00633921">
        <w:tc>
          <w:tcPr>
            <w:tcW w:w="1176" w:type="dxa"/>
          </w:tcPr>
          <w:p w:rsidR="00633921" w:rsidRDefault="00633921" w:rsidP="00633921">
            <w:r>
              <w:t>15-16</w:t>
            </w:r>
          </w:p>
        </w:tc>
        <w:tc>
          <w:tcPr>
            <w:tcW w:w="2176" w:type="dxa"/>
            <w:vMerge/>
            <w:shd w:val="clear" w:color="auto" w:fill="FBE4D5" w:themeFill="accent2" w:themeFillTint="33"/>
          </w:tcPr>
          <w:p w:rsidR="00633921" w:rsidRDefault="00633921" w:rsidP="00633921"/>
        </w:tc>
        <w:tc>
          <w:tcPr>
            <w:tcW w:w="2176" w:type="dxa"/>
            <w:vMerge/>
            <w:shd w:val="clear" w:color="auto" w:fill="E2EFD9" w:themeFill="accent6" w:themeFillTint="33"/>
          </w:tcPr>
          <w:p w:rsidR="00633921" w:rsidRDefault="00633921" w:rsidP="00633921"/>
        </w:tc>
        <w:tc>
          <w:tcPr>
            <w:tcW w:w="1115" w:type="dxa"/>
          </w:tcPr>
          <w:p w:rsidR="00633921" w:rsidRDefault="00633921" w:rsidP="00633921">
            <w:r>
              <w:t>10-11</w:t>
            </w:r>
          </w:p>
        </w:tc>
        <w:tc>
          <w:tcPr>
            <w:tcW w:w="2419" w:type="dxa"/>
            <w:vMerge/>
            <w:shd w:val="clear" w:color="auto" w:fill="A1EBF5"/>
          </w:tcPr>
          <w:p w:rsidR="00633921" w:rsidRDefault="00633921" w:rsidP="00633921"/>
        </w:tc>
      </w:tr>
      <w:tr w:rsidR="00633921" w:rsidTr="00633921">
        <w:tc>
          <w:tcPr>
            <w:tcW w:w="1176" w:type="dxa"/>
          </w:tcPr>
          <w:p w:rsidR="00633921" w:rsidRDefault="00633921" w:rsidP="00633921">
            <w:r>
              <w:t>16-17</w:t>
            </w:r>
          </w:p>
        </w:tc>
        <w:tc>
          <w:tcPr>
            <w:tcW w:w="2176" w:type="dxa"/>
            <w:vMerge/>
            <w:shd w:val="clear" w:color="auto" w:fill="FBE4D5" w:themeFill="accent2" w:themeFillTint="33"/>
          </w:tcPr>
          <w:p w:rsidR="00633921" w:rsidRDefault="00633921" w:rsidP="00633921"/>
        </w:tc>
        <w:tc>
          <w:tcPr>
            <w:tcW w:w="2176" w:type="dxa"/>
            <w:vMerge/>
            <w:shd w:val="clear" w:color="auto" w:fill="E2EFD9" w:themeFill="accent6" w:themeFillTint="33"/>
          </w:tcPr>
          <w:p w:rsidR="00633921" w:rsidRDefault="00633921" w:rsidP="00633921"/>
        </w:tc>
        <w:tc>
          <w:tcPr>
            <w:tcW w:w="1115" w:type="dxa"/>
          </w:tcPr>
          <w:p w:rsidR="00633921" w:rsidRDefault="00633921" w:rsidP="00633921">
            <w:r>
              <w:t>11-12</w:t>
            </w:r>
          </w:p>
        </w:tc>
        <w:tc>
          <w:tcPr>
            <w:tcW w:w="2419" w:type="dxa"/>
            <w:vMerge/>
            <w:shd w:val="clear" w:color="auto" w:fill="A1EBF5"/>
          </w:tcPr>
          <w:p w:rsidR="00633921" w:rsidRDefault="00633921" w:rsidP="00633921"/>
        </w:tc>
      </w:tr>
      <w:tr w:rsidR="00633921" w:rsidTr="00633921">
        <w:tc>
          <w:tcPr>
            <w:tcW w:w="1176" w:type="dxa"/>
          </w:tcPr>
          <w:p w:rsidR="00633921" w:rsidRDefault="00633921" w:rsidP="00633921">
            <w:r>
              <w:t>17-18</w:t>
            </w:r>
          </w:p>
        </w:tc>
        <w:tc>
          <w:tcPr>
            <w:tcW w:w="2176" w:type="dxa"/>
            <w:vMerge w:val="restart"/>
            <w:shd w:val="clear" w:color="auto" w:fill="D9E2F3" w:themeFill="accent5" w:themeFillTint="33"/>
          </w:tcPr>
          <w:p w:rsidR="00633921" w:rsidRDefault="00633921" w:rsidP="00633921">
            <w:r w:rsidRPr="00044A9F">
              <w:t>Izvedba i oblikovanje konstrukcija II pr</w:t>
            </w:r>
            <w:r>
              <w:t>.</w:t>
            </w:r>
            <w:r w:rsidRPr="00044A9F">
              <w:t>ed. (Varevac)</w:t>
            </w:r>
            <w:r>
              <w:t>.</w:t>
            </w:r>
          </w:p>
        </w:tc>
        <w:tc>
          <w:tcPr>
            <w:tcW w:w="2176" w:type="dxa"/>
            <w:vMerge w:val="restart"/>
            <w:shd w:val="clear" w:color="auto" w:fill="FAC79C"/>
          </w:tcPr>
          <w:p w:rsidR="00633921" w:rsidRDefault="00633921" w:rsidP="00633921">
            <w:r w:rsidRPr="00044A9F">
              <w:t>Upravljanje pripremom građenja pred. (Dolaček-Alduk)</w:t>
            </w:r>
          </w:p>
        </w:tc>
        <w:tc>
          <w:tcPr>
            <w:tcW w:w="1115" w:type="dxa"/>
          </w:tcPr>
          <w:p w:rsidR="00633921" w:rsidRDefault="00633921" w:rsidP="00633921">
            <w:r>
              <w:t>12-13</w:t>
            </w:r>
          </w:p>
        </w:tc>
        <w:tc>
          <w:tcPr>
            <w:tcW w:w="2419" w:type="dxa"/>
            <w:vMerge w:val="restart"/>
            <w:shd w:val="clear" w:color="auto" w:fill="FFF2CC" w:themeFill="accent4" w:themeFillTint="33"/>
          </w:tcPr>
          <w:p w:rsidR="00633921" w:rsidRDefault="00633921" w:rsidP="00633921">
            <w:r w:rsidRPr="00434DF2">
              <w:t>Cjeloživotna eksploatacija i održavanje građevina  pred.</w:t>
            </w:r>
            <w:r>
              <w:t xml:space="preserve"> i vj. </w:t>
            </w:r>
            <w:r w:rsidRPr="00434DF2">
              <w:t>( Krstić)</w:t>
            </w:r>
          </w:p>
          <w:p w:rsidR="00633921" w:rsidRDefault="00633921" w:rsidP="00633921">
            <w:r>
              <w:t>(samo: 27.10., 10.11., 24.11. i 01.12.)</w:t>
            </w:r>
          </w:p>
        </w:tc>
      </w:tr>
      <w:tr w:rsidR="00633921" w:rsidTr="00633921">
        <w:tc>
          <w:tcPr>
            <w:tcW w:w="1176" w:type="dxa"/>
          </w:tcPr>
          <w:p w:rsidR="00633921" w:rsidRDefault="00633921" w:rsidP="00633921">
            <w:r>
              <w:t>18-19</w:t>
            </w:r>
          </w:p>
        </w:tc>
        <w:tc>
          <w:tcPr>
            <w:tcW w:w="2176" w:type="dxa"/>
            <w:vMerge/>
            <w:shd w:val="clear" w:color="auto" w:fill="D9E2F3" w:themeFill="accent5" w:themeFillTint="33"/>
          </w:tcPr>
          <w:p w:rsidR="00633921" w:rsidRDefault="00633921" w:rsidP="00633921"/>
        </w:tc>
        <w:tc>
          <w:tcPr>
            <w:tcW w:w="2176" w:type="dxa"/>
            <w:vMerge/>
            <w:shd w:val="clear" w:color="auto" w:fill="FAC79C"/>
          </w:tcPr>
          <w:p w:rsidR="00633921" w:rsidRDefault="00633921" w:rsidP="00633921"/>
        </w:tc>
        <w:tc>
          <w:tcPr>
            <w:tcW w:w="1115" w:type="dxa"/>
          </w:tcPr>
          <w:p w:rsidR="00633921" w:rsidRDefault="00633921" w:rsidP="00633921">
            <w:r>
              <w:t>13-14</w:t>
            </w:r>
          </w:p>
        </w:tc>
        <w:tc>
          <w:tcPr>
            <w:tcW w:w="2419" w:type="dxa"/>
            <w:vMerge/>
            <w:shd w:val="clear" w:color="auto" w:fill="FFF2CC" w:themeFill="accent4" w:themeFillTint="33"/>
          </w:tcPr>
          <w:p w:rsidR="00633921" w:rsidRDefault="00633921" w:rsidP="00633921"/>
        </w:tc>
      </w:tr>
      <w:tr w:rsidR="00633921" w:rsidTr="00633921">
        <w:tc>
          <w:tcPr>
            <w:tcW w:w="1176" w:type="dxa"/>
          </w:tcPr>
          <w:p w:rsidR="00633921" w:rsidRDefault="00633921" w:rsidP="00633921">
            <w:r>
              <w:t>19-20</w:t>
            </w:r>
          </w:p>
        </w:tc>
        <w:tc>
          <w:tcPr>
            <w:tcW w:w="2176" w:type="dxa"/>
            <w:vMerge/>
            <w:shd w:val="clear" w:color="auto" w:fill="D9E2F3" w:themeFill="accent5" w:themeFillTint="33"/>
          </w:tcPr>
          <w:p w:rsidR="00633921" w:rsidRDefault="00633921" w:rsidP="00633921"/>
        </w:tc>
        <w:tc>
          <w:tcPr>
            <w:tcW w:w="2176" w:type="dxa"/>
            <w:vMerge/>
            <w:shd w:val="clear" w:color="auto" w:fill="FAC79C"/>
          </w:tcPr>
          <w:p w:rsidR="00633921" w:rsidRDefault="00633921" w:rsidP="00633921"/>
        </w:tc>
        <w:tc>
          <w:tcPr>
            <w:tcW w:w="1115" w:type="dxa"/>
          </w:tcPr>
          <w:p w:rsidR="00633921" w:rsidRDefault="00633921" w:rsidP="00633921">
            <w:r>
              <w:t>14-15</w:t>
            </w:r>
          </w:p>
        </w:tc>
        <w:tc>
          <w:tcPr>
            <w:tcW w:w="2419" w:type="dxa"/>
            <w:vMerge/>
            <w:shd w:val="clear" w:color="auto" w:fill="FFF2CC" w:themeFill="accent4" w:themeFillTint="33"/>
          </w:tcPr>
          <w:p w:rsidR="00633921" w:rsidRDefault="00633921" w:rsidP="00633921"/>
        </w:tc>
      </w:tr>
      <w:tr w:rsidR="00633921" w:rsidTr="00633921">
        <w:tc>
          <w:tcPr>
            <w:tcW w:w="1176" w:type="dxa"/>
          </w:tcPr>
          <w:p w:rsidR="00633921" w:rsidRDefault="00633921" w:rsidP="00633921"/>
        </w:tc>
        <w:tc>
          <w:tcPr>
            <w:tcW w:w="2176" w:type="dxa"/>
          </w:tcPr>
          <w:p w:rsidR="00633921" w:rsidRPr="00044A9F" w:rsidRDefault="00633921" w:rsidP="0063392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76" w:type="dxa"/>
          </w:tcPr>
          <w:p w:rsidR="00633921" w:rsidRPr="00044A9F" w:rsidRDefault="00633921" w:rsidP="0063392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5" w:type="dxa"/>
          </w:tcPr>
          <w:p w:rsidR="00633921" w:rsidRDefault="00633921" w:rsidP="00633921"/>
        </w:tc>
        <w:tc>
          <w:tcPr>
            <w:tcW w:w="2419" w:type="dxa"/>
            <w:shd w:val="clear" w:color="auto" w:fill="FFFFFF" w:themeFill="background1"/>
          </w:tcPr>
          <w:p w:rsidR="00633921" w:rsidRDefault="00633921" w:rsidP="00633921"/>
        </w:tc>
      </w:tr>
      <w:tr w:rsidR="00633921" w:rsidTr="00766118">
        <w:tc>
          <w:tcPr>
            <w:tcW w:w="1176" w:type="dxa"/>
          </w:tcPr>
          <w:p w:rsidR="00633921" w:rsidRPr="00225FB7" w:rsidRDefault="00633921" w:rsidP="00633921">
            <w:pPr>
              <w:rPr>
                <w:b/>
              </w:rPr>
            </w:pPr>
            <w:r w:rsidRPr="00225FB7">
              <w:rPr>
                <w:b/>
              </w:rPr>
              <w:t>DATUMI</w:t>
            </w:r>
          </w:p>
        </w:tc>
        <w:tc>
          <w:tcPr>
            <w:tcW w:w="2176" w:type="dxa"/>
          </w:tcPr>
          <w:tbl>
            <w:tblPr>
              <w:tblW w:w="1960" w:type="dxa"/>
              <w:tblLook w:val="04A0" w:firstRow="1" w:lastRow="0" w:firstColumn="1" w:lastColumn="0" w:noHBand="0" w:noVBand="1"/>
            </w:tblPr>
            <w:tblGrid>
              <w:gridCol w:w="1960"/>
            </w:tblGrid>
            <w:tr w:rsidR="00633921" w:rsidRPr="00044A9F" w:rsidTr="00044A9F">
              <w:trPr>
                <w:trHeight w:val="199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3921" w:rsidRPr="00044A9F" w:rsidRDefault="00633921" w:rsidP="006339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44A9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11.10.</w:t>
                  </w:r>
                </w:p>
              </w:tc>
            </w:tr>
            <w:tr w:rsidR="00633921" w:rsidRPr="00044A9F" w:rsidTr="00044A9F">
              <w:trPr>
                <w:trHeight w:val="199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3921" w:rsidRPr="00044A9F" w:rsidRDefault="00633921" w:rsidP="006339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633921" w:rsidRPr="00044A9F" w:rsidTr="00044A9F">
              <w:trPr>
                <w:trHeight w:val="199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3921" w:rsidRPr="00044A9F" w:rsidRDefault="00633921" w:rsidP="006339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44A9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25.10.</w:t>
                  </w:r>
                </w:p>
              </w:tc>
            </w:tr>
            <w:tr w:rsidR="00633921" w:rsidRPr="00044A9F" w:rsidTr="00044A9F">
              <w:trPr>
                <w:trHeight w:val="199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3921" w:rsidRPr="00044A9F" w:rsidRDefault="00633921" w:rsidP="006339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44A9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08.11.</w:t>
                  </w:r>
                </w:p>
              </w:tc>
            </w:tr>
            <w:tr w:rsidR="00633921" w:rsidRPr="00044A9F" w:rsidTr="00044A9F">
              <w:trPr>
                <w:trHeight w:val="199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3921" w:rsidRPr="00044A9F" w:rsidRDefault="00633921" w:rsidP="006339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44A9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15.11.</w:t>
                  </w:r>
                </w:p>
              </w:tc>
            </w:tr>
            <w:tr w:rsidR="00633921" w:rsidRPr="00044A9F" w:rsidTr="00044A9F">
              <w:trPr>
                <w:trHeight w:val="199"/>
              </w:trPr>
              <w:tc>
                <w:tcPr>
                  <w:tcW w:w="196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3921" w:rsidRDefault="00633921" w:rsidP="006339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44A9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22.11.</w:t>
                  </w:r>
                </w:p>
                <w:p w:rsidR="00633921" w:rsidRDefault="00633921" w:rsidP="006339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29.11.</w:t>
                  </w:r>
                </w:p>
                <w:p w:rsidR="00633921" w:rsidRPr="00044A9F" w:rsidRDefault="00633921" w:rsidP="006339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06.12.</w:t>
                  </w:r>
                </w:p>
              </w:tc>
            </w:tr>
          </w:tbl>
          <w:p w:rsidR="00633921" w:rsidRDefault="00633921" w:rsidP="00633921"/>
        </w:tc>
        <w:tc>
          <w:tcPr>
            <w:tcW w:w="2176" w:type="dxa"/>
          </w:tcPr>
          <w:tbl>
            <w:tblPr>
              <w:tblW w:w="1960" w:type="dxa"/>
              <w:tblLook w:val="04A0" w:firstRow="1" w:lastRow="0" w:firstColumn="1" w:lastColumn="0" w:noHBand="0" w:noVBand="1"/>
            </w:tblPr>
            <w:tblGrid>
              <w:gridCol w:w="1960"/>
            </w:tblGrid>
            <w:tr w:rsidR="00633921" w:rsidRPr="00044A9F" w:rsidTr="00044A9F">
              <w:trPr>
                <w:trHeight w:val="199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3921" w:rsidRPr="00044A9F" w:rsidRDefault="00633921" w:rsidP="006339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44A9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12.10.</w:t>
                  </w:r>
                </w:p>
              </w:tc>
            </w:tr>
            <w:tr w:rsidR="00633921" w:rsidRPr="00044A9F" w:rsidTr="00044A9F">
              <w:trPr>
                <w:trHeight w:val="199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3921" w:rsidRPr="00044A9F" w:rsidRDefault="00633921" w:rsidP="006339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633921" w:rsidRPr="00044A9F" w:rsidTr="00044A9F">
              <w:trPr>
                <w:trHeight w:val="199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3921" w:rsidRPr="00044A9F" w:rsidRDefault="00633921" w:rsidP="006339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44A9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26.10.</w:t>
                  </w:r>
                </w:p>
              </w:tc>
            </w:tr>
            <w:tr w:rsidR="00633921" w:rsidRPr="00044A9F" w:rsidTr="00044A9F">
              <w:trPr>
                <w:trHeight w:val="199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3921" w:rsidRPr="00044A9F" w:rsidRDefault="00633921" w:rsidP="006339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44A9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09.11.</w:t>
                  </w:r>
                </w:p>
              </w:tc>
            </w:tr>
            <w:tr w:rsidR="00633921" w:rsidRPr="00044A9F" w:rsidTr="00044A9F">
              <w:trPr>
                <w:trHeight w:val="199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3921" w:rsidRPr="00044A9F" w:rsidRDefault="00633921" w:rsidP="006339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44A9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16.11.</w:t>
                  </w:r>
                </w:p>
              </w:tc>
            </w:tr>
            <w:tr w:rsidR="00633921" w:rsidRPr="00044A9F" w:rsidTr="00044A9F">
              <w:trPr>
                <w:trHeight w:val="199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3921" w:rsidRPr="00044A9F" w:rsidRDefault="00633921" w:rsidP="006339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44A9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23.11.</w:t>
                  </w:r>
                </w:p>
              </w:tc>
            </w:tr>
            <w:tr w:rsidR="00633921" w:rsidRPr="00044A9F" w:rsidTr="00044A9F">
              <w:trPr>
                <w:trHeight w:val="199"/>
              </w:trPr>
              <w:tc>
                <w:tcPr>
                  <w:tcW w:w="196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921" w:rsidRDefault="00633921" w:rsidP="006339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30.11.</w:t>
                  </w:r>
                </w:p>
                <w:p w:rsidR="00633921" w:rsidRPr="00044A9F" w:rsidRDefault="00633921" w:rsidP="006339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07.12.</w:t>
                  </w:r>
                </w:p>
              </w:tc>
            </w:tr>
          </w:tbl>
          <w:p w:rsidR="00633921" w:rsidRDefault="00633921" w:rsidP="00633921"/>
        </w:tc>
        <w:tc>
          <w:tcPr>
            <w:tcW w:w="1115" w:type="dxa"/>
          </w:tcPr>
          <w:p w:rsidR="00633921" w:rsidRDefault="00633921" w:rsidP="00633921"/>
        </w:tc>
        <w:tc>
          <w:tcPr>
            <w:tcW w:w="2419" w:type="dxa"/>
          </w:tcPr>
          <w:tbl>
            <w:tblPr>
              <w:tblW w:w="2180" w:type="dxa"/>
              <w:tblLook w:val="04A0" w:firstRow="1" w:lastRow="0" w:firstColumn="1" w:lastColumn="0" w:noHBand="0" w:noVBand="1"/>
            </w:tblPr>
            <w:tblGrid>
              <w:gridCol w:w="2180"/>
            </w:tblGrid>
            <w:tr w:rsidR="00633921" w:rsidRPr="00044A9F" w:rsidTr="00044A9F">
              <w:trPr>
                <w:trHeight w:val="199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auto"/>
                  <w:vAlign w:val="center"/>
                  <w:hideMark/>
                </w:tcPr>
                <w:p w:rsidR="00633921" w:rsidRPr="00044A9F" w:rsidRDefault="00633921" w:rsidP="006339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44A9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13.10.</w:t>
                  </w:r>
                </w:p>
              </w:tc>
            </w:tr>
            <w:tr w:rsidR="00633921" w:rsidRPr="00044A9F" w:rsidTr="00434DF2">
              <w:trPr>
                <w:trHeight w:val="199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auto"/>
                  <w:vAlign w:val="center"/>
                </w:tcPr>
                <w:p w:rsidR="00633921" w:rsidRPr="00044A9F" w:rsidRDefault="00633921" w:rsidP="006339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633921" w:rsidRPr="00044A9F" w:rsidTr="00044A9F">
              <w:trPr>
                <w:trHeight w:val="199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auto"/>
                  <w:vAlign w:val="center"/>
                  <w:hideMark/>
                </w:tcPr>
                <w:p w:rsidR="00633921" w:rsidRPr="00044A9F" w:rsidRDefault="00633921" w:rsidP="006339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44A9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27.10.</w:t>
                  </w:r>
                </w:p>
              </w:tc>
            </w:tr>
            <w:tr w:rsidR="00633921" w:rsidRPr="00044A9F" w:rsidTr="00044A9F">
              <w:trPr>
                <w:trHeight w:val="199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3921" w:rsidRPr="00044A9F" w:rsidRDefault="00633921" w:rsidP="006339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44A9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10.11.</w:t>
                  </w:r>
                </w:p>
              </w:tc>
            </w:tr>
            <w:tr w:rsidR="00633921" w:rsidRPr="00044A9F" w:rsidTr="00044A9F">
              <w:trPr>
                <w:trHeight w:val="199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3921" w:rsidRPr="00044A9F" w:rsidRDefault="00633921" w:rsidP="006339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44A9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17.11.</w:t>
                  </w:r>
                </w:p>
              </w:tc>
            </w:tr>
            <w:tr w:rsidR="00633921" w:rsidRPr="00044A9F" w:rsidTr="00044A9F">
              <w:trPr>
                <w:trHeight w:val="199"/>
              </w:trPr>
              <w:tc>
                <w:tcPr>
                  <w:tcW w:w="218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3921" w:rsidRDefault="00633921" w:rsidP="006339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44A9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24.11.</w:t>
                  </w:r>
                </w:p>
                <w:p w:rsidR="00633921" w:rsidRDefault="00633921" w:rsidP="006339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01.12.</w:t>
                  </w:r>
                </w:p>
                <w:p w:rsidR="00633921" w:rsidRPr="00044A9F" w:rsidRDefault="00633921" w:rsidP="006339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08.12</w:t>
                  </w:r>
                </w:p>
              </w:tc>
            </w:tr>
          </w:tbl>
          <w:p w:rsidR="00633921" w:rsidRDefault="00633921" w:rsidP="00633921"/>
        </w:tc>
      </w:tr>
    </w:tbl>
    <w:p w:rsidR="009963AE" w:rsidRDefault="009963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2176"/>
        <w:gridCol w:w="2176"/>
        <w:gridCol w:w="1557"/>
        <w:gridCol w:w="1576"/>
      </w:tblGrid>
      <w:tr w:rsidR="00434DF2" w:rsidTr="00225FB7">
        <w:tc>
          <w:tcPr>
            <w:tcW w:w="1577" w:type="dxa"/>
            <w:shd w:val="clear" w:color="auto" w:fill="D9D9D9" w:themeFill="background1" w:themeFillShade="D9"/>
          </w:tcPr>
          <w:p w:rsidR="00434DF2" w:rsidRDefault="00434DF2" w:rsidP="00B46A3B">
            <w:r>
              <w:t>vrijeme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:rsidR="00434DF2" w:rsidRDefault="00434DF2" w:rsidP="00B46A3B">
            <w:r>
              <w:t>ČETVRTAK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:rsidR="00434DF2" w:rsidRDefault="00434DF2" w:rsidP="00B46A3B">
            <w:r>
              <w:t>PETAK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434DF2" w:rsidRDefault="00434DF2" w:rsidP="00B46A3B">
            <w:r>
              <w:t>vrijeme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434DF2" w:rsidRDefault="00434DF2" w:rsidP="00B46A3B">
            <w:r>
              <w:t>SUBOTA</w:t>
            </w:r>
          </w:p>
        </w:tc>
      </w:tr>
      <w:tr w:rsidR="00357195" w:rsidTr="00357195">
        <w:tc>
          <w:tcPr>
            <w:tcW w:w="1577" w:type="dxa"/>
          </w:tcPr>
          <w:p w:rsidR="00357195" w:rsidRDefault="00357195" w:rsidP="00357195">
            <w:r>
              <w:t>14-15</w:t>
            </w:r>
          </w:p>
        </w:tc>
        <w:tc>
          <w:tcPr>
            <w:tcW w:w="2176" w:type="dxa"/>
            <w:vMerge w:val="restart"/>
            <w:shd w:val="clear" w:color="auto" w:fill="A1EBF5"/>
          </w:tcPr>
          <w:p w:rsidR="00357195" w:rsidRDefault="00357195" w:rsidP="00357195">
            <w:r w:rsidRPr="00044A9F">
              <w:t>Sanacija konstrukcija građevina pred.+vj. (</w:t>
            </w:r>
            <w:r>
              <w:t>Kraus</w:t>
            </w:r>
            <w:r w:rsidRPr="00044A9F">
              <w:t>)</w:t>
            </w:r>
          </w:p>
        </w:tc>
        <w:tc>
          <w:tcPr>
            <w:tcW w:w="2176" w:type="dxa"/>
            <w:vMerge w:val="restart"/>
            <w:shd w:val="clear" w:color="auto" w:fill="FFF2CC" w:themeFill="accent4" w:themeFillTint="33"/>
          </w:tcPr>
          <w:p w:rsidR="00357195" w:rsidRDefault="00357195" w:rsidP="00357195">
            <w:r w:rsidRPr="00434DF2">
              <w:t>Cjeloživotna eksploatacija i održavanje građevina  pred.</w:t>
            </w:r>
            <w:r>
              <w:t xml:space="preserve"> i vj. </w:t>
            </w:r>
            <w:r w:rsidRPr="00434DF2">
              <w:t>( Krstić)</w:t>
            </w:r>
          </w:p>
        </w:tc>
        <w:tc>
          <w:tcPr>
            <w:tcW w:w="1557" w:type="dxa"/>
          </w:tcPr>
          <w:p w:rsidR="00357195" w:rsidRDefault="00357195" w:rsidP="00357195">
            <w:r>
              <w:t>09-10</w:t>
            </w:r>
          </w:p>
        </w:tc>
        <w:tc>
          <w:tcPr>
            <w:tcW w:w="1576" w:type="dxa"/>
            <w:vMerge w:val="restart"/>
            <w:shd w:val="clear" w:color="auto" w:fill="A1EBF5"/>
          </w:tcPr>
          <w:p w:rsidR="00357195" w:rsidRDefault="00357195" w:rsidP="00357195">
            <w:r w:rsidRPr="00044A9F">
              <w:t>Sanacija konstrukcija građevina pred.+vj. (</w:t>
            </w:r>
            <w:r>
              <w:t>Kraus</w:t>
            </w:r>
            <w:r w:rsidRPr="00044A9F">
              <w:t>)</w:t>
            </w:r>
          </w:p>
        </w:tc>
      </w:tr>
      <w:tr w:rsidR="00357195" w:rsidTr="00357195">
        <w:tc>
          <w:tcPr>
            <w:tcW w:w="1577" w:type="dxa"/>
          </w:tcPr>
          <w:p w:rsidR="00357195" w:rsidRDefault="00357195" w:rsidP="00357195">
            <w:r>
              <w:t>15-16</w:t>
            </w:r>
          </w:p>
        </w:tc>
        <w:tc>
          <w:tcPr>
            <w:tcW w:w="2176" w:type="dxa"/>
            <w:vMerge/>
            <w:shd w:val="clear" w:color="auto" w:fill="A1EBF5"/>
          </w:tcPr>
          <w:p w:rsidR="00357195" w:rsidRDefault="00357195" w:rsidP="00357195"/>
        </w:tc>
        <w:tc>
          <w:tcPr>
            <w:tcW w:w="2176" w:type="dxa"/>
            <w:vMerge/>
            <w:shd w:val="clear" w:color="auto" w:fill="FFF2CC" w:themeFill="accent4" w:themeFillTint="33"/>
          </w:tcPr>
          <w:p w:rsidR="00357195" w:rsidRDefault="00357195" w:rsidP="00357195"/>
        </w:tc>
        <w:tc>
          <w:tcPr>
            <w:tcW w:w="1557" w:type="dxa"/>
          </w:tcPr>
          <w:p w:rsidR="00357195" w:rsidRDefault="00357195" w:rsidP="00357195">
            <w:r>
              <w:t>10-11</w:t>
            </w:r>
          </w:p>
        </w:tc>
        <w:tc>
          <w:tcPr>
            <w:tcW w:w="1576" w:type="dxa"/>
            <w:vMerge/>
            <w:shd w:val="clear" w:color="auto" w:fill="A1EBF5"/>
          </w:tcPr>
          <w:p w:rsidR="00357195" w:rsidRDefault="00357195" w:rsidP="00357195"/>
        </w:tc>
      </w:tr>
      <w:tr w:rsidR="00357195" w:rsidTr="00357195">
        <w:tc>
          <w:tcPr>
            <w:tcW w:w="1577" w:type="dxa"/>
          </w:tcPr>
          <w:p w:rsidR="00357195" w:rsidRDefault="00357195" w:rsidP="00357195">
            <w:r>
              <w:t>16-17</w:t>
            </w:r>
          </w:p>
        </w:tc>
        <w:tc>
          <w:tcPr>
            <w:tcW w:w="2176" w:type="dxa"/>
            <w:vMerge/>
            <w:shd w:val="clear" w:color="auto" w:fill="A1EBF5"/>
          </w:tcPr>
          <w:p w:rsidR="00357195" w:rsidRDefault="00357195" w:rsidP="00357195"/>
        </w:tc>
        <w:tc>
          <w:tcPr>
            <w:tcW w:w="2176" w:type="dxa"/>
            <w:vMerge/>
            <w:shd w:val="clear" w:color="auto" w:fill="FFF2CC" w:themeFill="accent4" w:themeFillTint="33"/>
          </w:tcPr>
          <w:p w:rsidR="00357195" w:rsidRDefault="00357195" w:rsidP="00357195"/>
        </w:tc>
        <w:tc>
          <w:tcPr>
            <w:tcW w:w="1557" w:type="dxa"/>
          </w:tcPr>
          <w:p w:rsidR="00357195" w:rsidRDefault="00357195" w:rsidP="00357195">
            <w:r>
              <w:t>11-12</w:t>
            </w:r>
          </w:p>
        </w:tc>
        <w:tc>
          <w:tcPr>
            <w:tcW w:w="1576" w:type="dxa"/>
            <w:vMerge/>
            <w:shd w:val="clear" w:color="auto" w:fill="A1EBF5"/>
          </w:tcPr>
          <w:p w:rsidR="00357195" w:rsidRDefault="00357195" w:rsidP="00357195"/>
        </w:tc>
      </w:tr>
      <w:tr w:rsidR="00357195" w:rsidTr="00357195">
        <w:tc>
          <w:tcPr>
            <w:tcW w:w="1577" w:type="dxa"/>
          </w:tcPr>
          <w:p w:rsidR="00357195" w:rsidRDefault="00357195" w:rsidP="00357195">
            <w:r>
              <w:t>17-18</w:t>
            </w:r>
          </w:p>
        </w:tc>
        <w:tc>
          <w:tcPr>
            <w:tcW w:w="2176" w:type="dxa"/>
            <w:vMerge w:val="restart"/>
            <w:shd w:val="clear" w:color="auto" w:fill="FFF2CC" w:themeFill="accent4" w:themeFillTint="33"/>
          </w:tcPr>
          <w:p w:rsidR="00357195" w:rsidRDefault="00357195" w:rsidP="00357195">
            <w:r w:rsidRPr="00434DF2">
              <w:t>Cjeloživotna eksploatacija i održavanje građevina  pred.</w:t>
            </w:r>
            <w:r>
              <w:t xml:space="preserve"> i vj. </w:t>
            </w:r>
            <w:r w:rsidRPr="00434DF2">
              <w:t>( Krstić)</w:t>
            </w:r>
          </w:p>
        </w:tc>
        <w:tc>
          <w:tcPr>
            <w:tcW w:w="2176" w:type="dxa"/>
            <w:vMerge w:val="restart"/>
            <w:shd w:val="clear" w:color="auto" w:fill="FAC79C"/>
          </w:tcPr>
          <w:p w:rsidR="00357195" w:rsidRDefault="00357195" w:rsidP="00357195">
            <w:r w:rsidRPr="00044A9F">
              <w:t>Upravljanje pripremom građenja pred. (Dolaček-Alduk)</w:t>
            </w:r>
          </w:p>
        </w:tc>
        <w:tc>
          <w:tcPr>
            <w:tcW w:w="1557" w:type="dxa"/>
          </w:tcPr>
          <w:p w:rsidR="00357195" w:rsidRDefault="00357195" w:rsidP="00357195">
            <w:r>
              <w:t>12-13</w:t>
            </w:r>
          </w:p>
        </w:tc>
        <w:tc>
          <w:tcPr>
            <w:tcW w:w="1576" w:type="dxa"/>
            <w:vMerge w:val="restart"/>
            <w:shd w:val="clear" w:color="auto" w:fill="FFFFFF" w:themeFill="background1"/>
          </w:tcPr>
          <w:p w:rsidR="00357195" w:rsidRDefault="00357195" w:rsidP="00357195"/>
        </w:tc>
      </w:tr>
      <w:tr w:rsidR="00357195" w:rsidTr="00357195">
        <w:tc>
          <w:tcPr>
            <w:tcW w:w="1577" w:type="dxa"/>
          </w:tcPr>
          <w:p w:rsidR="00357195" w:rsidRDefault="00357195" w:rsidP="00357195">
            <w:r>
              <w:t>18-19</w:t>
            </w:r>
          </w:p>
        </w:tc>
        <w:tc>
          <w:tcPr>
            <w:tcW w:w="2176" w:type="dxa"/>
            <w:vMerge/>
            <w:shd w:val="clear" w:color="auto" w:fill="FFF2CC" w:themeFill="accent4" w:themeFillTint="33"/>
          </w:tcPr>
          <w:p w:rsidR="00357195" w:rsidRDefault="00357195" w:rsidP="00357195"/>
        </w:tc>
        <w:tc>
          <w:tcPr>
            <w:tcW w:w="2176" w:type="dxa"/>
            <w:vMerge/>
            <w:shd w:val="clear" w:color="auto" w:fill="FAC79C"/>
          </w:tcPr>
          <w:p w:rsidR="00357195" w:rsidRDefault="00357195" w:rsidP="00357195"/>
        </w:tc>
        <w:tc>
          <w:tcPr>
            <w:tcW w:w="1557" w:type="dxa"/>
          </w:tcPr>
          <w:p w:rsidR="00357195" w:rsidRDefault="00357195" w:rsidP="00357195">
            <w:r>
              <w:t>13-14</w:t>
            </w:r>
          </w:p>
        </w:tc>
        <w:tc>
          <w:tcPr>
            <w:tcW w:w="1576" w:type="dxa"/>
            <w:vMerge/>
            <w:shd w:val="clear" w:color="auto" w:fill="FFFFFF" w:themeFill="background1"/>
          </w:tcPr>
          <w:p w:rsidR="00357195" w:rsidRDefault="00357195" w:rsidP="00357195"/>
        </w:tc>
      </w:tr>
      <w:tr w:rsidR="00357195" w:rsidTr="00357195">
        <w:tc>
          <w:tcPr>
            <w:tcW w:w="1577" w:type="dxa"/>
          </w:tcPr>
          <w:p w:rsidR="00357195" w:rsidRDefault="00357195" w:rsidP="00357195">
            <w:r>
              <w:t>19-20</w:t>
            </w:r>
          </w:p>
        </w:tc>
        <w:tc>
          <w:tcPr>
            <w:tcW w:w="2176" w:type="dxa"/>
            <w:vMerge/>
            <w:shd w:val="clear" w:color="auto" w:fill="FFF2CC" w:themeFill="accent4" w:themeFillTint="33"/>
          </w:tcPr>
          <w:p w:rsidR="00357195" w:rsidRDefault="00357195" w:rsidP="00357195"/>
        </w:tc>
        <w:tc>
          <w:tcPr>
            <w:tcW w:w="2176" w:type="dxa"/>
            <w:vMerge/>
            <w:shd w:val="clear" w:color="auto" w:fill="FAC79C"/>
          </w:tcPr>
          <w:p w:rsidR="00357195" w:rsidRDefault="00357195" w:rsidP="00357195"/>
        </w:tc>
        <w:tc>
          <w:tcPr>
            <w:tcW w:w="1557" w:type="dxa"/>
          </w:tcPr>
          <w:p w:rsidR="00357195" w:rsidRDefault="00357195" w:rsidP="00357195">
            <w:r>
              <w:t>14-15</w:t>
            </w:r>
          </w:p>
        </w:tc>
        <w:tc>
          <w:tcPr>
            <w:tcW w:w="1576" w:type="dxa"/>
            <w:vMerge/>
            <w:shd w:val="clear" w:color="auto" w:fill="FFFFFF" w:themeFill="background1"/>
          </w:tcPr>
          <w:p w:rsidR="00357195" w:rsidRDefault="00357195" w:rsidP="00357195"/>
        </w:tc>
      </w:tr>
      <w:tr w:rsidR="00357195" w:rsidTr="00B46A3B">
        <w:tc>
          <w:tcPr>
            <w:tcW w:w="1577" w:type="dxa"/>
          </w:tcPr>
          <w:p w:rsidR="00357195" w:rsidRPr="00225FB7" w:rsidRDefault="00357195" w:rsidP="00357195">
            <w:pPr>
              <w:rPr>
                <w:b/>
              </w:rPr>
            </w:pPr>
            <w:r w:rsidRPr="00225FB7">
              <w:rPr>
                <w:b/>
              </w:rPr>
              <w:t>DATUMI</w:t>
            </w:r>
          </w:p>
        </w:tc>
        <w:tc>
          <w:tcPr>
            <w:tcW w:w="2176" w:type="dxa"/>
          </w:tcPr>
          <w:p w:rsidR="00357195" w:rsidRPr="00225FB7" w:rsidRDefault="00357195" w:rsidP="00357195">
            <w:pPr>
              <w:rPr>
                <w:b/>
              </w:rPr>
            </w:pPr>
            <w:r w:rsidRPr="00225FB7">
              <w:rPr>
                <w:b/>
              </w:rPr>
              <w:t>18.10.</w:t>
            </w:r>
          </w:p>
        </w:tc>
        <w:tc>
          <w:tcPr>
            <w:tcW w:w="2176" w:type="dxa"/>
          </w:tcPr>
          <w:p w:rsidR="00357195" w:rsidRPr="00225FB7" w:rsidRDefault="00357195" w:rsidP="00357195">
            <w:pPr>
              <w:rPr>
                <w:b/>
              </w:rPr>
            </w:pPr>
            <w:r w:rsidRPr="00225FB7">
              <w:rPr>
                <w:b/>
              </w:rPr>
              <w:t>19.10</w:t>
            </w:r>
          </w:p>
        </w:tc>
        <w:tc>
          <w:tcPr>
            <w:tcW w:w="1557" w:type="dxa"/>
          </w:tcPr>
          <w:p w:rsidR="00357195" w:rsidRPr="00225FB7" w:rsidRDefault="00357195" w:rsidP="00357195">
            <w:pPr>
              <w:rPr>
                <w:b/>
              </w:rPr>
            </w:pPr>
          </w:p>
        </w:tc>
        <w:tc>
          <w:tcPr>
            <w:tcW w:w="1576" w:type="dxa"/>
          </w:tcPr>
          <w:p w:rsidR="00357195" w:rsidRPr="00225FB7" w:rsidRDefault="00357195" w:rsidP="00357195">
            <w:pPr>
              <w:rPr>
                <w:b/>
              </w:rPr>
            </w:pPr>
            <w:r w:rsidRPr="00225FB7">
              <w:rPr>
                <w:b/>
              </w:rPr>
              <w:t>20.10.</w:t>
            </w:r>
          </w:p>
        </w:tc>
      </w:tr>
    </w:tbl>
    <w:p w:rsidR="00434DF2" w:rsidRDefault="00434DF2" w:rsidP="00434DF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76"/>
        <w:gridCol w:w="2080"/>
        <w:gridCol w:w="1184"/>
        <w:gridCol w:w="1088"/>
        <w:gridCol w:w="1115"/>
        <w:gridCol w:w="1209"/>
        <w:gridCol w:w="1210"/>
      </w:tblGrid>
      <w:tr w:rsidR="00D10B4E" w:rsidTr="00225FB7">
        <w:tc>
          <w:tcPr>
            <w:tcW w:w="1176" w:type="dxa"/>
            <w:shd w:val="clear" w:color="auto" w:fill="D9D9D9" w:themeFill="background1" w:themeFillShade="D9"/>
          </w:tcPr>
          <w:p w:rsidR="00D10B4E" w:rsidRDefault="00D10B4E" w:rsidP="00B46A3B">
            <w:r>
              <w:t>vrijeme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:rsidR="00D10B4E" w:rsidRDefault="00D10B4E" w:rsidP="00B46A3B">
            <w:r>
              <w:t>ČETVRTAK</w:t>
            </w:r>
          </w:p>
        </w:tc>
        <w:tc>
          <w:tcPr>
            <w:tcW w:w="2272" w:type="dxa"/>
            <w:gridSpan w:val="2"/>
            <w:shd w:val="clear" w:color="auto" w:fill="D9D9D9" w:themeFill="background1" w:themeFillShade="D9"/>
          </w:tcPr>
          <w:p w:rsidR="00D10B4E" w:rsidRDefault="00D10B4E" w:rsidP="00B46A3B">
            <w:r>
              <w:t>PETAK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D10B4E" w:rsidRDefault="00D10B4E" w:rsidP="00B46A3B">
            <w:r>
              <w:t>vrijeme</w:t>
            </w:r>
          </w:p>
        </w:tc>
        <w:tc>
          <w:tcPr>
            <w:tcW w:w="2419" w:type="dxa"/>
            <w:gridSpan w:val="2"/>
            <w:shd w:val="clear" w:color="auto" w:fill="D9D9D9" w:themeFill="background1" w:themeFillShade="D9"/>
          </w:tcPr>
          <w:p w:rsidR="00D10B4E" w:rsidRDefault="00D10B4E" w:rsidP="00B46A3B">
            <w:r>
              <w:t>SUBOTA</w:t>
            </w:r>
          </w:p>
        </w:tc>
      </w:tr>
      <w:tr w:rsidR="007B1956" w:rsidTr="00A97832">
        <w:tc>
          <w:tcPr>
            <w:tcW w:w="1176" w:type="dxa"/>
          </w:tcPr>
          <w:p w:rsidR="007B1956" w:rsidRDefault="007B1956" w:rsidP="007B1956">
            <w:r>
              <w:t>14-15</w:t>
            </w:r>
          </w:p>
        </w:tc>
        <w:tc>
          <w:tcPr>
            <w:tcW w:w="2080" w:type="dxa"/>
            <w:vMerge w:val="restart"/>
            <w:shd w:val="clear" w:color="auto" w:fill="FDCFF1"/>
          </w:tcPr>
          <w:p w:rsidR="007B1956" w:rsidRDefault="007B1956" w:rsidP="007B1956">
            <w:r w:rsidRPr="00766118">
              <w:t>Održavanje hidrotehničkih građevina pred.+vj. (Mijušković-Svetinović)</w:t>
            </w:r>
          </w:p>
        </w:tc>
        <w:tc>
          <w:tcPr>
            <w:tcW w:w="1184" w:type="dxa"/>
            <w:vMerge w:val="restart"/>
            <w:shd w:val="clear" w:color="auto" w:fill="C3D8EF"/>
          </w:tcPr>
          <w:p w:rsidR="00357195" w:rsidRDefault="007B1956" w:rsidP="007B1956">
            <w:r>
              <w:t>Izvedba i oblik.</w:t>
            </w:r>
            <w:r w:rsidRPr="00434DF2">
              <w:t xml:space="preserve"> konstr</w:t>
            </w:r>
            <w:r>
              <w:t>.</w:t>
            </w:r>
            <w:r w:rsidRPr="00434DF2">
              <w:t xml:space="preserve"> </w:t>
            </w:r>
            <w:r w:rsidR="00E4078E">
              <w:t xml:space="preserve">II </w:t>
            </w:r>
            <w:r w:rsidRPr="00434DF2">
              <w:t>vj. (Draganić)</w:t>
            </w:r>
          </w:p>
        </w:tc>
        <w:tc>
          <w:tcPr>
            <w:tcW w:w="1088" w:type="dxa"/>
            <w:vMerge w:val="restart"/>
            <w:shd w:val="clear" w:color="auto" w:fill="A1EBF5"/>
          </w:tcPr>
          <w:p w:rsidR="007B1956" w:rsidRDefault="007B1956" w:rsidP="007B1956">
            <w:r>
              <w:t>Sanacija konst. g</w:t>
            </w:r>
            <w:r w:rsidRPr="00044A9F">
              <w:t>rađ</w:t>
            </w:r>
            <w:r>
              <w:t>.</w:t>
            </w:r>
            <w:r w:rsidRPr="00044A9F">
              <w:t xml:space="preserve"> pred.+vj. (</w:t>
            </w:r>
            <w:r>
              <w:t>Kraus</w:t>
            </w:r>
            <w:r w:rsidRPr="00044A9F">
              <w:t>)</w:t>
            </w:r>
          </w:p>
        </w:tc>
        <w:tc>
          <w:tcPr>
            <w:tcW w:w="1115" w:type="dxa"/>
          </w:tcPr>
          <w:p w:rsidR="007B1956" w:rsidRDefault="007B1956" w:rsidP="007B1956">
            <w:r>
              <w:t>09-10</w:t>
            </w:r>
          </w:p>
        </w:tc>
        <w:tc>
          <w:tcPr>
            <w:tcW w:w="2419" w:type="dxa"/>
            <w:gridSpan w:val="2"/>
            <w:vMerge w:val="restart"/>
            <w:shd w:val="clear" w:color="auto" w:fill="FFF2CC" w:themeFill="accent4" w:themeFillTint="33"/>
          </w:tcPr>
          <w:p w:rsidR="007B1956" w:rsidRDefault="007B1956" w:rsidP="007B1956">
            <w:r w:rsidRPr="00434DF2">
              <w:t>Cjeloživotna eksploatacija i održavanje građevina  pred.</w:t>
            </w:r>
            <w:r>
              <w:t xml:space="preserve"> i vj. (K</w:t>
            </w:r>
            <w:r w:rsidRPr="00434DF2">
              <w:t>rstić)</w:t>
            </w:r>
          </w:p>
        </w:tc>
      </w:tr>
      <w:tr w:rsidR="007B1956" w:rsidTr="00A97832">
        <w:tc>
          <w:tcPr>
            <w:tcW w:w="1176" w:type="dxa"/>
          </w:tcPr>
          <w:p w:rsidR="007B1956" w:rsidRDefault="007B1956" w:rsidP="007B1956">
            <w:r>
              <w:t>15-16</w:t>
            </w:r>
          </w:p>
        </w:tc>
        <w:tc>
          <w:tcPr>
            <w:tcW w:w="2080" w:type="dxa"/>
            <w:vMerge/>
            <w:shd w:val="clear" w:color="auto" w:fill="FDCFF1"/>
          </w:tcPr>
          <w:p w:rsidR="007B1956" w:rsidRDefault="007B1956" w:rsidP="007B1956"/>
        </w:tc>
        <w:tc>
          <w:tcPr>
            <w:tcW w:w="1184" w:type="dxa"/>
            <w:vMerge/>
            <w:shd w:val="clear" w:color="auto" w:fill="C3D8EF"/>
          </w:tcPr>
          <w:p w:rsidR="007B1956" w:rsidRDefault="007B1956" w:rsidP="007B1956"/>
        </w:tc>
        <w:tc>
          <w:tcPr>
            <w:tcW w:w="1088" w:type="dxa"/>
            <w:vMerge/>
            <w:shd w:val="clear" w:color="auto" w:fill="A1EBF5"/>
          </w:tcPr>
          <w:p w:rsidR="007B1956" w:rsidRDefault="007B1956" w:rsidP="007B1956"/>
        </w:tc>
        <w:tc>
          <w:tcPr>
            <w:tcW w:w="1115" w:type="dxa"/>
          </w:tcPr>
          <w:p w:rsidR="007B1956" w:rsidRDefault="007B1956" w:rsidP="007B1956">
            <w:r>
              <w:t>10-11</w:t>
            </w:r>
          </w:p>
        </w:tc>
        <w:tc>
          <w:tcPr>
            <w:tcW w:w="2419" w:type="dxa"/>
            <w:gridSpan w:val="2"/>
            <w:vMerge/>
            <w:shd w:val="clear" w:color="auto" w:fill="FFF2CC" w:themeFill="accent4" w:themeFillTint="33"/>
          </w:tcPr>
          <w:p w:rsidR="007B1956" w:rsidRDefault="007B1956" w:rsidP="007B1956"/>
        </w:tc>
      </w:tr>
      <w:tr w:rsidR="007B1956" w:rsidTr="00A97832">
        <w:tc>
          <w:tcPr>
            <w:tcW w:w="1176" w:type="dxa"/>
          </w:tcPr>
          <w:p w:rsidR="007B1956" w:rsidRDefault="007B1956" w:rsidP="007B1956">
            <w:r>
              <w:t>16-17</w:t>
            </w:r>
          </w:p>
        </w:tc>
        <w:tc>
          <w:tcPr>
            <w:tcW w:w="2080" w:type="dxa"/>
            <w:vMerge/>
            <w:shd w:val="clear" w:color="auto" w:fill="FDCFF1"/>
          </w:tcPr>
          <w:p w:rsidR="007B1956" w:rsidRDefault="007B1956" w:rsidP="007B1956"/>
        </w:tc>
        <w:tc>
          <w:tcPr>
            <w:tcW w:w="1184" w:type="dxa"/>
            <w:vMerge/>
            <w:shd w:val="clear" w:color="auto" w:fill="C3D8EF"/>
          </w:tcPr>
          <w:p w:rsidR="007B1956" w:rsidRDefault="007B1956" w:rsidP="007B1956"/>
        </w:tc>
        <w:tc>
          <w:tcPr>
            <w:tcW w:w="1088" w:type="dxa"/>
            <w:vMerge/>
            <w:shd w:val="clear" w:color="auto" w:fill="A1EBF5"/>
          </w:tcPr>
          <w:p w:rsidR="007B1956" w:rsidRDefault="007B1956" w:rsidP="007B1956"/>
        </w:tc>
        <w:tc>
          <w:tcPr>
            <w:tcW w:w="1115" w:type="dxa"/>
          </w:tcPr>
          <w:p w:rsidR="007B1956" w:rsidRDefault="007B1956" w:rsidP="007B1956">
            <w:r>
              <w:t>11-12</w:t>
            </w:r>
          </w:p>
        </w:tc>
        <w:tc>
          <w:tcPr>
            <w:tcW w:w="2419" w:type="dxa"/>
            <w:gridSpan w:val="2"/>
            <w:vMerge/>
            <w:shd w:val="clear" w:color="auto" w:fill="FFF2CC" w:themeFill="accent4" w:themeFillTint="33"/>
          </w:tcPr>
          <w:p w:rsidR="007B1956" w:rsidRDefault="007B1956" w:rsidP="007B1956"/>
        </w:tc>
      </w:tr>
      <w:tr w:rsidR="00633921" w:rsidTr="00633921">
        <w:tc>
          <w:tcPr>
            <w:tcW w:w="1176" w:type="dxa"/>
          </w:tcPr>
          <w:p w:rsidR="00633921" w:rsidRDefault="00633921" w:rsidP="007B1956">
            <w:r>
              <w:t>17-18</w:t>
            </w:r>
          </w:p>
        </w:tc>
        <w:tc>
          <w:tcPr>
            <w:tcW w:w="2080" w:type="dxa"/>
            <w:vMerge w:val="restart"/>
            <w:shd w:val="clear" w:color="auto" w:fill="C3D8EF"/>
          </w:tcPr>
          <w:p w:rsidR="00633921" w:rsidRDefault="00633921" w:rsidP="007B1956">
            <w:r>
              <w:t>Izvedba i oblik.</w:t>
            </w:r>
            <w:r w:rsidRPr="00434DF2">
              <w:t xml:space="preserve"> konstr</w:t>
            </w:r>
            <w:r>
              <w:t>.</w:t>
            </w:r>
            <w:r w:rsidRPr="00434DF2">
              <w:t xml:space="preserve"> </w:t>
            </w:r>
            <w:r>
              <w:t xml:space="preserve">II </w:t>
            </w:r>
            <w:r w:rsidRPr="00434DF2">
              <w:t xml:space="preserve">vj. </w:t>
            </w:r>
            <w:r>
              <w:t>(Draganić)</w:t>
            </w:r>
            <w:bookmarkStart w:id="0" w:name="_GoBack"/>
            <w:bookmarkEnd w:id="0"/>
          </w:p>
          <w:p w:rsidR="00633921" w:rsidRDefault="00633921" w:rsidP="007B1956">
            <w:r>
              <w:t>(</w:t>
            </w:r>
            <w:r w:rsidRPr="00633921">
              <w:rPr>
                <w:b/>
              </w:rPr>
              <w:t>samo 24.01.</w:t>
            </w:r>
            <w:r>
              <w:t>)</w:t>
            </w:r>
          </w:p>
          <w:p w:rsidR="00633921" w:rsidRDefault="00633921" w:rsidP="00633921"/>
        </w:tc>
        <w:tc>
          <w:tcPr>
            <w:tcW w:w="2272" w:type="dxa"/>
            <w:gridSpan w:val="2"/>
            <w:vMerge w:val="restart"/>
            <w:shd w:val="clear" w:color="auto" w:fill="FDCFF1"/>
          </w:tcPr>
          <w:p w:rsidR="00633921" w:rsidRDefault="00633921" w:rsidP="007B1956">
            <w:r w:rsidRPr="00766118">
              <w:t>Održavanje hidrotehničkih građevina pred.+vj. (Mijušković-Svetinović)</w:t>
            </w:r>
          </w:p>
        </w:tc>
        <w:tc>
          <w:tcPr>
            <w:tcW w:w="1115" w:type="dxa"/>
          </w:tcPr>
          <w:p w:rsidR="00633921" w:rsidRDefault="00633921" w:rsidP="007B1956">
            <w:r>
              <w:t>12-13</w:t>
            </w:r>
          </w:p>
        </w:tc>
        <w:tc>
          <w:tcPr>
            <w:tcW w:w="1209" w:type="dxa"/>
            <w:vMerge w:val="restart"/>
            <w:shd w:val="clear" w:color="auto" w:fill="FAC79C"/>
          </w:tcPr>
          <w:p w:rsidR="00633921" w:rsidRDefault="00633921" w:rsidP="007B1956">
            <w:r>
              <w:t>Upr. pripr. građ.</w:t>
            </w:r>
            <w:r w:rsidRPr="00044A9F">
              <w:t xml:space="preserve"> pred. (Dolaček-Alduk)</w:t>
            </w:r>
          </w:p>
        </w:tc>
        <w:tc>
          <w:tcPr>
            <w:tcW w:w="1210" w:type="dxa"/>
            <w:vMerge w:val="restart"/>
            <w:shd w:val="clear" w:color="auto" w:fill="FDCFF1"/>
          </w:tcPr>
          <w:p w:rsidR="00633921" w:rsidRDefault="00633921" w:rsidP="007B1956">
            <w:r w:rsidRPr="00766118">
              <w:t>Održ</w:t>
            </w:r>
            <w:r>
              <w:t>.</w:t>
            </w:r>
            <w:r w:rsidRPr="00766118">
              <w:t xml:space="preserve"> </w:t>
            </w:r>
            <w:r>
              <w:t>h</w:t>
            </w:r>
            <w:r w:rsidRPr="00766118">
              <w:t>idro</w:t>
            </w:r>
            <w:r>
              <w:t>.</w:t>
            </w:r>
            <w:r w:rsidRPr="00766118">
              <w:t xml:space="preserve"> </w:t>
            </w:r>
            <w:r>
              <w:t>g</w:t>
            </w:r>
            <w:r w:rsidRPr="00766118">
              <w:t>rađ</w:t>
            </w:r>
            <w:r>
              <w:t>.</w:t>
            </w:r>
          </w:p>
          <w:p w:rsidR="00633921" w:rsidRDefault="00633921" w:rsidP="007B1956">
            <w:r>
              <w:t xml:space="preserve">pred.+vj. </w:t>
            </w:r>
            <w:r w:rsidRPr="00766118">
              <w:t>Mijušković-Svetinović)</w:t>
            </w:r>
          </w:p>
        </w:tc>
      </w:tr>
      <w:tr w:rsidR="00633921" w:rsidTr="00633921">
        <w:trPr>
          <w:trHeight w:val="865"/>
        </w:trPr>
        <w:tc>
          <w:tcPr>
            <w:tcW w:w="1176" w:type="dxa"/>
          </w:tcPr>
          <w:p w:rsidR="00633921" w:rsidRDefault="00633921" w:rsidP="00357195">
            <w:r>
              <w:t>18-19</w:t>
            </w:r>
          </w:p>
        </w:tc>
        <w:tc>
          <w:tcPr>
            <w:tcW w:w="2080" w:type="dxa"/>
            <w:vMerge/>
            <w:shd w:val="clear" w:color="auto" w:fill="C3D8EF"/>
          </w:tcPr>
          <w:p w:rsidR="00633921" w:rsidRDefault="00633921" w:rsidP="007B1956"/>
        </w:tc>
        <w:tc>
          <w:tcPr>
            <w:tcW w:w="2272" w:type="dxa"/>
            <w:gridSpan w:val="2"/>
            <w:vMerge/>
            <w:shd w:val="clear" w:color="auto" w:fill="FDCFF1"/>
          </w:tcPr>
          <w:p w:rsidR="00633921" w:rsidRDefault="00633921" w:rsidP="007B1956"/>
        </w:tc>
        <w:tc>
          <w:tcPr>
            <w:tcW w:w="1115" w:type="dxa"/>
          </w:tcPr>
          <w:p w:rsidR="00633921" w:rsidRDefault="00633921" w:rsidP="007B1956">
            <w:r>
              <w:t>13-14</w:t>
            </w:r>
          </w:p>
        </w:tc>
        <w:tc>
          <w:tcPr>
            <w:tcW w:w="1209" w:type="dxa"/>
            <w:vMerge/>
            <w:shd w:val="clear" w:color="auto" w:fill="FAC79C"/>
          </w:tcPr>
          <w:p w:rsidR="00633921" w:rsidRDefault="00633921" w:rsidP="007B1956"/>
        </w:tc>
        <w:tc>
          <w:tcPr>
            <w:tcW w:w="1210" w:type="dxa"/>
            <w:vMerge/>
            <w:shd w:val="clear" w:color="auto" w:fill="FDCFF1"/>
          </w:tcPr>
          <w:p w:rsidR="00633921" w:rsidRDefault="00633921" w:rsidP="007B1956"/>
        </w:tc>
      </w:tr>
      <w:tr w:rsidR="00633921" w:rsidTr="00D448B3">
        <w:tc>
          <w:tcPr>
            <w:tcW w:w="1176" w:type="dxa"/>
          </w:tcPr>
          <w:p w:rsidR="00633921" w:rsidRDefault="00633921" w:rsidP="00357195">
            <w:r>
              <w:t>19-20</w:t>
            </w:r>
          </w:p>
        </w:tc>
        <w:tc>
          <w:tcPr>
            <w:tcW w:w="2080" w:type="dxa"/>
            <w:shd w:val="clear" w:color="auto" w:fill="FFFFFF" w:themeFill="background1"/>
          </w:tcPr>
          <w:p w:rsidR="00633921" w:rsidRDefault="00633921" w:rsidP="007B1956"/>
        </w:tc>
        <w:tc>
          <w:tcPr>
            <w:tcW w:w="2272" w:type="dxa"/>
            <w:gridSpan w:val="2"/>
            <w:vMerge/>
            <w:shd w:val="clear" w:color="auto" w:fill="FDCFF1"/>
          </w:tcPr>
          <w:p w:rsidR="00633921" w:rsidRDefault="00633921" w:rsidP="007B1956"/>
        </w:tc>
        <w:tc>
          <w:tcPr>
            <w:tcW w:w="1115" w:type="dxa"/>
          </w:tcPr>
          <w:p w:rsidR="00633921" w:rsidRDefault="00633921" w:rsidP="007B1956">
            <w:r>
              <w:t>14-15</w:t>
            </w:r>
          </w:p>
        </w:tc>
        <w:tc>
          <w:tcPr>
            <w:tcW w:w="1209" w:type="dxa"/>
            <w:vMerge/>
            <w:shd w:val="clear" w:color="auto" w:fill="FAC79C"/>
          </w:tcPr>
          <w:p w:rsidR="00633921" w:rsidRDefault="00633921" w:rsidP="007B1956"/>
        </w:tc>
        <w:tc>
          <w:tcPr>
            <w:tcW w:w="1210" w:type="dxa"/>
            <w:vMerge/>
            <w:shd w:val="clear" w:color="auto" w:fill="FDCFF1"/>
          </w:tcPr>
          <w:p w:rsidR="00633921" w:rsidRDefault="00633921" w:rsidP="007B1956"/>
        </w:tc>
      </w:tr>
      <w:tr w:rsidR="007B1956" w:rsidTr="007B1956">
        <w:tc>
          <w:tcPr>
            <w:tcW w:w="1176" w:type="dxa"/>
          </w:tcPr>
          <w:p w:rsidR="007B1956" w:rsidRPr="00225FB7" w:rsidRDefault="007B1956" w:rsidP="007B1956">
            <w:pPr>
              <w:rPr>
                <w:b/>
              </w:rPr>
            </w:pPr>
            <w:r w:rsidRPr="00225FB7">
              <w:rPr>
                <w:b/>
              </w:rPr>
              <w:t>DATUMI</w:t>
            </w:r>
          </w:p>
        </w:tc>
        <w:tc>
          <w:tcPr>
            <w:tcW w:w="2080" w:type="dxa"/>
          </w:tcPr>
          <w:tbl>
            <w:tblPr>
              <w:tblW w:w="2196" w:type="dxa"/>
              <w:tblLayout w:type="fixed"/>
              <w:tblLook w:val="04A0" w:firstRow="1" w:lastRow="0" w:firstColumn="1" w:lastColumn="0" w:noHBand="0" w:noVBand="1"/>
            </w:tblPr>
            <w:tblGrid>
              <w:gridCol w:w="1098"/>
              <w:gridCol w:w="1098"/>
            </w:tblGrid>
            <w:tr w:rsidR="007B1956" w:rsidRPr="00766118" w:rsidTr="006F21E8">
              <w:trPr>
                <w:trHeight w:val="199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56" w:rsidRPr="00766118" w:rsidRDefault="007B1956" w:rsidP="007B1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76611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13.12.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1956" w:rsidRPr="00766118" w:rsidRDefault="007B1956" w:rsidP="007B1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7B1956" w:rsidRPr="00766118" w:rsidTr="006F21E8">
              <w:trPr>
                <w:trHeight w:val="199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56" w:rsidRPr="00766118" w:rsidRDefault="007B1956" w:rsidP="007B1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76611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20.12.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1956" w:rsidRPr="00766118" w:rsidRDefault="007B1956" w:rsidP="007B1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76611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24.01.</w:t>
                  </w:r>
                </w:p>
              </w:tc>
            </w:tr>
            <w:tr w:rsidR="007B1956" w:rsidRPr="00766118" w:rsidTr="006F21E8">
              <w:trPr>
                <w:trHeight w:val="199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56" w:rsidRPr="00766118" w:rsidRDefault="007B1956" w:rsidP="007B1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76611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10.01.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1956" w:rsidRPr="00766118" w:rsidRDefault="007B1956" w:rsidP="007B1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7B1956" w:rsidRPr="00766118" w:rsidTr="006F21E8">
              <w:trPr>
                <w:trHeight w:val="199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B1956" w:rsidRPr="00766118" w:rsidRDefault="007B1956" w:rsidP="007B1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17.01.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1956" w:rsidRPr="00766118" w:rsidRDefault="007B1956" w:rsidP="007B1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</w:tbl>
          <w:p w:rsidR="007B1956" w:rsidRDefault="007B1956" w:rsidP="007B1956"/>
        </w:tc>
        <w:tc>
          <w:tcPr>
            <w:tcW w:w="2272" w:type="dxa"/>
            <w:gridSpan w:val="2"/>
          </w:tcPr>
          <w:tbl>
            <w:tblPr>
              <w:tblW w:w="2196" w:type="dxa"/>
              <w:tblLayout w:type="fixed"/>
              <w:tblLook w:val="04A0" w:firstRow="1" w:lastRow="0" w:firstColumn="1" w:lastColumn="0" w:noHBand="0" w:noVBand="1"/>
            </w:tblPr>
            <w:tblGrid>
              <w:gridCol w:w="1098"/>
              <w:gridCol w:w="1098"/>
            </w:tblGrid>
            <w:tr w:rsidR="007B1956" w:rsidRPr="00766118" w:rsidTr="00B46A3B">
              <w:trPr>
                <w:trHeight w:val="199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56" w:rsidRPr="00766118" w:rsidRDefault="007B1956" w:rsidP="007B1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76611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  <w:r w:rsidRPr="0076611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.12.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1956" w:rsidRPr="00766118" w:rsidRDefault="007B1956" w:rsidP="007B1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76611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8</w:t>
                  </w:r>
                  <w:r w:rsidRPr="0076611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.01.</w:t>
                  </w:r>
                </w:p>
              </w:tc>
            </w:tr>
            <w:tr w:rsidR="007B1956" w:rsidRPr="00766118" w:rsidTr="00B46A3B">
              <w:trPr>
                <w:trHeight w:val="199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56" w:rsidRPr="00766118" w:rsidRDefault="007B1956" w:rsidP="007B1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76611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1</w:t>
                  </w:r>
                  <w:r w:rsidRPr="0076611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.12.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1956" w:rsidRPr="00766118" w:rsidRDefault="007B1956" w:rsidP="007B1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76611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5</w:t>
                  </w:r>
                  <w:r w:rsidRPr="0076611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.01.</w:t>
                  </w:r>
                </w:p>
              </w:tc>
            </w:tr>
            <w:tr w:rsidR="007B1956" w:rsidRPr="00766118" w:rsidTr="00B46A3B">
              <w:trPr>
                <w:trHeight w:val="199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56" w:rsidRPr="00766118" w:rsidRDefault="007B1956" w:rsidP="007B1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76611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1</w:t>
                  </w:r>
                  <w:r w:rsidRPr="0076611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.01.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1956" w:rsidRPr="00766118" w:rsidRDefault="007B1956" w:rsidP="007B1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7B1956" w:rsidRPr="00766118" w:rsidTr="00B46A3B">
              <w:trPr>
                <w:trHeight w:val="199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B1956" w:rsidRPr="00766118" w:rsidRDefault="007B1956" w:rsidP="007B1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1956" w:rsidRPr="00766118" w:rsidRDefault="007B1956" w:rsidP="007B1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</w:tbl>
          <w:p w:rsidR="007B1956" w:rsidRDefault="007B1956" w:rsidP="007B1956"/>
        </w:tc>
        <w:tc>
          <w:tcPr>
            <w:tcW w:w="1115" w:type="dxa"/>
          </w:tcPr>
          <w:p w:rsidR="007B1956" w:rsidRDefault="007B1956" w:rsidP="007B1956"/>
        </w:tc>
        <w:tc>
          <w:tcPr>
            <w:tcW w:w="2419" w:type="dxa"/>
            <w:gridSpan w:val="2"/>
          </w:tcPr>
          <w:tbl>
            <w:tblPr>
              <w:tblW w:w="2196" w:type="dxa"/>
              <w:tblLayout w:type="fixed"/>
              <w:tblLook w:val="04A0" w:firstRow="1" w:lastRow="0" w:firstColumn="1" w:lastColumn="0" w:noHBand="0" w:noVBand="1"/>
            </w:tblPr>
            <w:tblGrid>
              <w:gridCol w:w="1098"/>
              <w:gridCol w:w="1098"/>
            </w:tblGrid>
            <w:tr w:rsidR="007B1956" w:rsidRPr="00766118" w:rsidTr="00B46A3B">
              <w:trPr>
                <w:trHeight w:val="199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56" w:rsidRPr="00766118" w:rsidRDefault="007B1956" w:rsidP="007B1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76611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5</w:t>
                  </w:r>
                  <w:r w:rsidRPr="0076611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.12.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1956" w:rsidRPr="00766118" w:rsidRDefault="007B1956" w:rsidP="007B1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7B1956" w:rsidRPr="00766118" w:rsidTr="00B46A3B">
              <w:trPr>
                <w:trHeight w:val="199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56" w:rsidRPr="00766118" w:rsidRDefault="007B1956" w:rsidP="007B1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1956" w:rsidRPr="00766118" w:rsidRDefault="007B1956" w:rsidP="007B1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76611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6</w:t>
                  </w:r>
                  <w:r w:rsidRPr="0076611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.01.</w:t>
                  </w:r>
                </w:p>
              </w:tc>
            </w:tr>
            <w:tr w:rsidR="007B1956" w:rsidRPr="00766118" w:rsidTr="00B46A3B">
              <w:trPr>
                <w:trHeight w:val="199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56" w:rsidRPr="00766118" w:rsidRDefault="007B1956" w:rsidP="007B1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76611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2</w:t>
                  </w:r>
                  <w:r w:rsidRPr="0076611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.01.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1956" w:rsidRPr="00766118" w:rsidRDefault="007B1956" w:rsidP="007B1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7B1956" w:rsidRPr="00766118" w:rsidTr="00B46A3B">
              <w:trPr>
                <w:trHeight w:val="199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B1956" w:rsidRPr="00766118" w:rsidRDefault="007B1956" w:rsidP="007B1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19.01.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1956" w:rsidRPr="00766118" w:rsidRDefault="007B1956" w:rsidP="007B1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</w:tbl>
          <w:p w:rsidR="007B1956" w:rsidRDefault="007B1956" w:rsidP="007B1956"/>
        </w:tc>
      </w:tr>
    </w:tbl>
    <w:p w:rsidR="00D10B4E" w:rsidRDefault="00D10B4E" w:rsidP="00434DF2"/>
    <w:sectPr w:rsidR="00D10B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E3" w:rsidRDefault="009C7CE3" w:rsidP="001912B6">
      <w:pPr>
        <w:spacing w:after="0" w:line="240" w:lineRule="auto"/>
      </w:pPr>
      <w:r>
        <w:separator/>
      </w:r>
    </w:p>
  </w:endnote>
  <w:endnote w:type="continuationSeparator" w:id="0">
    <w:p w:rsidR="009C7CE3" w:rsidRDefault="009C7CE3" w:rsidP="0019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7E" w:rsidRDefault="00BD2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7E" w:rsidRDefault="00BD2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7E" w:rsidRDefault="00BD2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E3" w:rsidRDefault="009C7CE3" w:rsidP="001912B6">
      <w:pPr>
        <w:spacing w:after="0" w:line="240" w:lineRule="auto"/>
      </w:pPr>
      <w:r>
        <w:separator/>
      </w:r>
    </w:p>
  </w:footnote>
  <w:footnote w:type="continuationSeparator" w:id="0">
    <w:p w:rsidR="009C7CE3" w:rsidRDefault="009C7CE3" w:rsidP="0019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7E" w:rsidRDefault="00BD2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060" w:type="dxa"/>
      <w:tblLook w:val="04A0" w:firstRow="1" w:lastRow="0" w:firstColumn="1" w:lastColumn="0" w:noHBand="0" w:noVBand="1"/>
    </w:tblPr>
    <w:tblGrid>
      <w:gridCol w:w="7060"/>
    </w:tblGrid>
    <w:tr w:rsidR="001912B6" w:rsidRPr="001912B6" w:rsidTr="001912B6">
      <w:trPr>
        <w:trHeight w:val="375"/>
      </w:trPr>
      <w:tc>
        <w:tcPr>
          <w:tcW w:w="70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912B6" w:rsidRPr="001912B6" w:rsidRDefault="001912B6" w:rsidP="001912B6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hr-HR"/>
            </w:rPr>
          </w:pPr>
          <w:r w:rsidRPr="001912B6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hr-HR"/>
            </w:rPr>
            <w:t>SPECIJALISTIČKI DIPLOMSKI STRUČNI STUDIJ , III</w:t>
          </w:r>
          <w:r w:rsidR="00BD297E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hr-HR"/>
            </w:rPr>
            <w:t>.</w:t>
          </w:r>
          <w:r w:rsidRPr="001912B6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hr-HR"/>
            </w:rPr>
            <w:t xml:space="preserve"> semestar</w:t>
          </w:r>
        </w:p>
      </w:tc>
    </w:tr>
    <w:tr w:rsidR="001912B6" w:rsidRPr="001912B6" w:rsidTr="001912B6">
      <w:trPr>
        <w:trHeight w:val="315"/>
      </w:trPr>
      <w:tc>
        <w:tcPr>
          <w:tcW w:w="70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912B6" w:rsidRPr="001912B6" w:rsidRDefault="001912B6" w:rsidP="001912B6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lang w:eastAsia="hr-HR"/>
            </w:rPr>
          </w:pPr>
          <w:r w:rsidRPr="001912B6">
            <w:rPr>
              <w:rFonts w:ascii="Calibri" w:eastAsia="Times New Roman" w:hAnsi="Calibri" w:cs="Calibri"/>
              <w:b/>
              <w:bCs/>
              <w:color w:val="000000"/>
              <w:lang w:eastAsia="hr-HR"/>
            </w:rPr>
            <w:t>raspored nastave u zimskom semestru ak.god. 201</w:t>
          </w:r>
          <w:r>
            <w:rPr>
              <w:rFonts w:ascii="Calibri" w:eastAsia="Times New Roman" w:hAnsi="Calibri" w:cs="Calibri"/>
              <w:b/>
              <w:bCs/>
              <w:color w:val="000000"/>
              <w:lang w:eastAsia="hr-HR"/>
            </w:rPr>
            <w:t>8.</w:t>
          </w:r>
          <w:r w:rsidRPr="001912B6">
            <w:rPr>
              <w:rFonts w:ascii="Calibri" w:eastAsia="Times New Roman" w:hAnsi="Calibri" w:cs="Calibri"/>
              <w:b/>
              <w:bCs/>
              <w:color w:val="000000"/>
              <w:lang w:eastAsia="hr-HR"/>
            </w:rPr>
            <w:t>/1</w:t>
          </w:r>
          <w:r>
            <w:rPr>
              <w:rFonts w:ascii="Calibri" w:eastAsia="Times New Roman" w:hAnsi="Calibri" w:cs="Calibri"/>
              <w:b/>
              <w:bCs/>
              <w:color w:val="000000"/>
              <w:lang w:eastAsia="hr-HR"/>
            </w:rPr>
            <w:t>9</w:t>
          </w:r>
          <w:r w:rsidRPr="001912B6">
            <w:rPr>
              <w:rFonts w:ascii="Calibri" w:eastAsia="Times New Roman" w:hAnsi="Calibri" w:cs="Calibri"/>
              <w:b/>
              <w:bCs/>
              <w:color w:val="000000"/>
              <w:lang w:eastAsia="hr-HR"/>
            </w:rPr>
            <w:t>.</w:t>
          </w:r>
          <w:r w:rsidR="00BD297E">
            <w:rPr>
              <w:rFonts w:ascii="Calibri" w:eastAsia="Times New Roman" w:hAnsi="Calibri" w:cs="Calibri"/>
              <w:b/>
              <w:bCs/>
              <w:color w:val="000000"/>
              <w:lang w:eastAsia="hr-HR"/>
            </w:rPr>
            <w:t xml:space="preserve">     </w:t>
          </w:r>
          <w:r w:rsidR="00BD297E" w:rsidRPr="00BD297E">
            <w:rPr>
              <w:rFonts w:ascii="Calibri" w:eastAsia="Times New Roman" w:hAnsi="Calibri" w:cs="Calibri"/>
              <w:b/>
              <w:bCs/>
              <w:color w:val="FF0000"/>
              <w:lang w:eastAsia="hr-HR"/>
            </w:rPr>
            <w:t>učionica: III.43</w:t>
          </w:r>
        </w:p>
      </w:tc>
    </w:tr>
  </w:tbl>
  <w:p w:rsidR="001912B6" w:rsidRDefault="001912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7E" w:rsidRDefault="00BD29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9F"/>
    <w:rsid w:val="00044A9F"/>
    <w:rsid w:val="001912B6"/>
    <w:rsid w:val="00225FB7"/>
    <w:rsid w:val="00296E70"/>
    <w:rsid w:val="00357195"/>
    <w:rsid w:val="003F7690"/>
    <w:rsid w:val="00434DF2"/>
    <w:rsid w:val="005D3321"/>
    <w:rsid w:val="00633921"/>
    <w:rsid w:val="00766118"/>
    <w:rsid w:val="007B1956"/>
    <w:rsid w:val="008E407B"/>
    <w:rsid w:val="009963AE"/>
    <w:rsid w:val="009A44BF"/>
    <w:rsid w:val="009C7CE3"/>
    <w:rsid w:val="009D60B7"/>
    <w:rsid w:val="00A97832"/>
    <w:rsid w:val="00AC1B6A"/>
    <w:rsid w:val="00B778B1"/>
    <w:rsid w:val="00BD297E"/>
    <w:rsid w:val="00D10B4E"/>
    <w:rsid w:val="00DE4983"/>
    <w:rsid w:val="00E4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B08F"/>
  <w15:chartTrackingRefBased/>
  <w15:docId w15:val="{43A4B1BA-4D50-4664-AD1E-98E0BBC3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B6"/>
  </w:style>
  <w:style w:type="paragraph" w:styleId="Footer">
    <w:name w:val="footer"/>
    <w:basedOn w:val="Normal"/>
    <w:link w:val="FooterChar"/>
    <w:uiPriority w:val="99"/>
    <w:unhideWhenUsed/>
    <w:rsid w:val="00191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2018-10-02T10:24:00Z</dcterms:created>
  <dcterms:modified xsi:type="dcterms:W3CDTF">2018-10-11T10:10:00Z</dcterms:modified>
</cp:coreProperties>
</file>