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85AF6" w14:paraId="5CE3D5ED" w14:textId="77777777" w:rsidTr="00D965AF">
        <w:trPr>
          <w:trHeight w:val="1110"/>
        </w:trPr>
        <w:tc>
          <w:tcPr>
            <w:tcW w:w="4531" w:type="dxa"/>
          </w:tcPr>
          <w:p w14:paraId="3C68F782" w14:textId="77777777" w:rsidR="00685AF6" w:rsidRDefault="00685AF6" w:rsidP="00D965AF"/>
          <w:p w14:paraId="21EC0A13" w14:textId="77777777" w:rsidR="00685AF6" w:rsidRDefault="00685AF6" w:rsidP="00D965AF"/>
          <w:p w14:paraId="774B3831" w14:textId="77777777" w:rsidR="00685AF6" w:rsidRPr="000E2991" w:rsidRDefault="00685AF6" w:rsidP="000E2991">
            <w:pPr>
              <w:spacing w:after="0"/>
              <w:rPr>
                <w:rFonts w:ascii="Times New Roman" w:hAnsi="Times New Roman" w:cs="Times New Roman"/>
              </w:rPr>
            </w:pPr>
            <w:r w:rsidRPr="000E2991">
              <w:rPr>
                <w:rFonts w:ascii="Times New Roman" w:hAnsi="Times New Roman" w:cs="Times New Roman"/>
              </w:rPr>
              <w:t>KLASA: 400-02/25-01/00009</w:t>
            </w:r>
          </w:p>
          <w:p w14:paraId="1BB79FF9" w14:textId="77777777" w:rsidR="00685AF6" w:rsidRDefault="00685AF6" w:rsidP="000E2991">
            <w:pPr>
              <w:spacing w:after="0"/>
            </w:pPr>
            <w:r w:rsidRPr="000E2991">
              <w:rPr>
                <w:rFonts w:ascii="Times New Roman" w:hAnsi="Times New Roman" w:cs="Times New Roman"/>
              </w:rPr>
              <w:t>URBROJ: 2158-77-10-25-00003</w:t>
            </w:r>
          </w:p>
        </w:tc>
        <w:tc>
          <w:tcPr>
            <w:tcW w:w="4531" w:type="dxa"/>
          </w:tcPr>
          <w:p w14:paraId="6E80C3C9" w14:textId="77777777" w:rsidR="00685AF6" w:rsidRDefault="00685AF6" w:rsidP="00D965AF">
            <w:pPr>
              <w:jc w:val="right"/>
            </w:pPr>
            <w:r w:rsidRPr="005158DF">
              <w:rPr>
                <w:rFonts w:ascii="Corbel" w:eastAsia="Corbel" w:hAnsi="Corbel"/>
                <w:noProof/>
              </w:rPr>
              <w:drawing>
                <wp:inline distT="0" distB="0" distL="0" distR="0" wp14:anchorId="2B92D21F" wp14:editId="3A93ADC1">
                  <wp:extent cx="695325" cy="695325"/>
                  <wp:effectExtent l="0" t="0" r="9525" b="9525"/>
                  <wp:docPr id="380968221" name="Picture 1" descr="2158-77-400-02/25-01/00009-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68221" name="Picture 1" descr="BC_JedinstvenaOznakaPismena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130" cy="69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E03F73" w14:textId="77777777" w:rsidR="00E11CEB" w:rsidRDefault="00E11CEB" w:rsidP="002959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B2152" w14:textId="19E3CA9A" w:rsidR="003F0E49" w:rsidRPr="002959C5" w:rsidRDefault="003F0E49" w:rsidP="002959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C5">
        <w:rPr>
          <w:rFonts w:ascii="Times New Roman" w:hAnsi="Times New Roman" w:cs="Times New Roman"/>
          <w:b/>
          <w:sz w:val="28"/>
          <w:szCs w:val="28"/>
        </w:rPr>
        <w:t>OBRAZLOŽENJE POSEBNOG DIJELA FINANCIJSKOG PLANA ZA 202</w:t>
      </w:r>
      <w:r w:rsidR="002A669D" w:rsidRPr="002959C5">
        <w:rPr>
          <w:rFonts w:ascii="Times New Roman" w:hAnsi="Times New Roman" w:cs="Times New Roman"/>
          <w:b/>
          <w:sz w:val="28"/>
          <w:szCs w:val="28"/>
        </w:rPr>
        <w:t>5</w:t>
      </w:r>
      <w:r w:rsidRPr="002959C5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473A0B20" w14:textId="77777777" w:rsidR="003F0E49" w:rsidRPr="00FB5B69" w:rsidRDefault="003F0E49" w:rsidP="00246E6D">
      <w:pPr>
        <w:spacing w:after="0"/>
        <w:jc w:val="both"/>
        <w:rPr>
          <w:b/>
          <w:sz w:val="28"/>
        </w:rPr>
      </w:pPr>
    </w:p>
    <w:p w14:paraId="18C99748" w14:textId="77777777" w:rsidR="0087231B" w:rsidRPr="00FB5B69" w:rsidRDefault="0087231B" w:rsidP="00246E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B69">
        <w:rPr>
          <w:rFonts w:ascii="Times New Roman" w:hAnsi="Times New Roman" w:cs="Times New Roman"/>
          <w:sz w:val="24"/>
          <w:szCs w:val="24"/>
        </w:rPr>
        <w:t>Sveučilište Josipa Jurja Strossmayera u Osijeku, Građevinski i arhitektonski fakultet Osijek</w:t>
      </w:r>
    </w:p>
    <w:p w14:paraId="08BD51AB" w14:textId="0526F111" w:rsidR="0087231B" w:rsidRDefault="0087231B" w:rsidP="00246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B69">
        <w:rPr>
          <w:rFonts w:ascii="Times New Roman" w:hAnsi="Times New Roman" w:cs="Times New Roman"/>
          <w:sz w:val="24"/>
          <w:szCs w:val="24"/>
        </w:rPr>
        <w:t>Razdjel: 080 Razdjel Ministarstvo znanosti</w:t>
      </w:r>
      <w:r w:rsidR="00FB5B69" w:rsidRPr="00FB5B69">
        <w:rPr>
          <w:rFonts w:ascii="Times New Roman" w:hAnsi="Times New Roman" w:cs="Times New Roman"/>
          <w:sz w:val="24"/>
          <w:szCs w:val="24"/>
        </w:rPr>
        <w:t>,</w:t>
      </w:r>
      <w:r w:rsidRPr="00FB5B69"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FB5B69" w:rsidRPr="00FB5B69">
        <w:rPr>
          <w:rFonts w:ascii="Times New Roman" w:hAnsi="Times New Roman" w:cs="Times New Roman"/>
          <w:sz w:val="24"/>
          <w:szCs w:val="24"/>
        </w:rPr>
        <w:t xml:space="preserve"> i mladih</w:t>
      </w:r>
      <w:r w:rsidR="00246E6D">
        <w:rPr>
          <w:rFonts w:ascii="Times New Roman" w:hAnsi="Times New Roman" w:cs="Times New Roman"/>
          <w:sz w:val="24"/>
          <w:szCs w:val="24"/>
        </w:rPr>
        <w:t>.</w:t>
      </w:r>
    </w:p>
    <w:p w14:paraId="72714590" w14:textId="77777777" w:rsidR="00246E6D" w:rsidRPr="00FB5B69" w:rsidRDefault="00246E6D" w:rsidP="00246E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2BC8D" w14:textId="77777777" w:rsidR="0087231B" w:rsidRPr="00FB5B69" w:rsidRDefault="0087231B" w:rsidP="00246E6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B5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Sažetak djelokruga rada proračunskog korisnika</w:t>
      </w:r>
    </w:p>
    <w:p w14:paraId="3838463D" w14:textId="77777777" w:rsidR="0087231B" w:rsidRPr="00FB5B69" w:rsidRDefault="0087231B" w:rsidP="002959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Djelatnost Fakulteta je:</w:t>
      </w:r>
    </w:p>
    <w:p w14:paraId="61EB63E8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visoko obrazovanje</w:t>
      </w:r>
    </w:p>
    <w:p w14:paraId="1E649BA4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ustroj i izvođenje sveučilišnih i stručnih studija</w:t>
      </w:r>
    </w:p>
    <w:p w14:paraId="14B3ACAF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znanstvenoistraživački rad u znanstvenim područjima Tehničke znanosti i Interdisciplinarne tehničke znanosti </w:t>
      </w:r>
    </w:p>
    <w:p w14:paraId="4BF481B3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Calibri" w:hAnsi="Times New Roman" w:cs="Times New Roman"/>
          <w:sz w:val="24"/>
          <w:szCs w:val="24"/>
          <w:lang w:eastAsia="en-GB"/>
        </w:rPr>
        <w:t>znanstvenoistraživački rad u znanstvenim poljima Građevinarstvo, Arhitektura i urbanizam, Geodezija i Interdisciplinarne tehničke znanosti</w:t>
      </w:r>
    </w:p>
    <w:p w14:paraId="7E209ED8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organizacija i izvođenje programa stručnog usavršavanja, osposobljavanja te programa cjeloživotnog učenja</w:t>
      </w:r>
    </w:p>
    <w:p w14:paraId="447AB71C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organizacija i izvođenje Programa izobrazbe za osobe koje provode energetske preglede i energetsko certificiranje zgrada</w:t>
      </w:r>
    </w:p>
    <w:p w14:paraId="32CF83B7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Calibri" w:hAnsi="Times New Roman" w:cs="Times New Roman"/>
          <w:sz w:val="24"/>
          <w:szCs w:val="24"/>
          <w:lang w:eastAsia="en-GB"/>
        </w:rPr>
        <w:t>suradnja sa visokoobrazovnim institucijama i znanstvenim institutima u zemlji i inozemstvu</w:t>
      </w:r>
    </w:p>
    <w:p w14:paraId="5DFCD573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organizacija znanstvenih i stručnih domaćih i međunarodnih simpozija, savjetovanja, konferencija, kongresa i sajmova </w:t>
      </w:r>
    </w:p>
    <w:p w14:paraId="4795920A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izdavanje znanstvenih i stručnih časopisa iz znanstvenog područja tehničkih znanosti</w:t>
      </w:r>
    </w:p>
    <w:p w14:paraId="50106DBD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izdavačka, knjižnična i informatička djelatnost za potrebe nastave, znanstvenog i stručnog rada</w:t>
      </w:r>
    </w:p>
    <w:p w14:paraId="214EB8EA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ispitivanja materijala, određenih dijelova ili cijele građevine u svrhu provjere, odnosno dokazivanja ispunjavanja temeljnih zahtjeva za građevinu i/ili drugih zahtjeva, odnosno uvjeta predviđenih glavnim projektom ili izvješćem o obavljenoj kontroli projekta</w:t>
      </w:r>
    </w:p>
    <w:p w14:paraId="6418A6E6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kontrolna ispitivanja materijala koja se provode na temelju posebnih propisa, projekta građevine ili sumnje</w:t>
      </w:r>
    </w:p>
    <w:p w14:paraId="20C7A0BF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utvrđivanje uvjeta za građenje (temeljno tlo, geološke, hidrološke, hidrotehničke, seizmičke, prometne, okolišne i druge uvjete)</w:t>
      </w:r>
    </w:p>
    <w:p w14:paraId="256E750A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utvrđivanje stanja materijala i građevine u odnosu na ispunjavanje temeljnih zahtjeva za građevinu</w:t>
      </w:r>
    </w:p>
    <w:p w14:paraId="198CB636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prijevoz za vlastite potrebe</w:t>
      </w:r>
    </w:p>
    <w:p w14:paraId="4636E439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ostala trgovina na malo izvan prodavaonica, štandova i tržnica, prodaja promotivnih proizvoda i materijala za potrebe promidžbe Fakulteta te prodaja vlastitih izdanja</w:t>
      </w:r>
    </w:p>
    <w:p w14:paraId="42DE37CC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obavljanje stručnih poslova i djelatnosti (izrada studija, elaborata, stručnih mišljenja, savjetovanja, kontrola, nadzora, recenzija i sl.) u području graditeljstva, arhitekture i urbanizma, geodezije, prostornog uređenja, projektiranja, stručnog nadzora, građenja, upravljanja projektima građenja te ispitivanja i prethodnih istraživanja  </w:t>
      </w:r>
    </w:p>
    <w:p w14:paraId="620F65D3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građevinsko i arhitektonsko projektiranje i izrada natječajne dokumentacije</w:t>
      </w:r>
    </w:p>
    <w:p w14:paraId="03C22BE5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provođenje tehničkih ispitivanja i analiza građevina</w:t>
      </w:r>
    </w:p>
    <w:p w14:paraId="4B1A944E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obavljanje stručnih poslova zaštite okoliša</w:t>
      </w:r>
    </w:p>
    <w:p w14:paraId="55B8634E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suradnja u izradi građevinske regulative (smjernice, propisi, standardi, zakoni)</w:t>
      </w:r>
    </w:p>
    <w:p w14:paraId="1DC6818D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kontrola projekata u pogledu sigurnosti, funkcionalnosti i ekonomičnosti</w:t>
      </w:r>
    </w:p>
    <w:p w14:paraId="6364CC5F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obavljanje recenzentskih poslova i provedba stručnih vještačenja</w:t>
      </w:r>
    </w:p>
    <w:p w14:paraId="2D0143A9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savjetovanja u području građevinarstva, arhitekture i urbanizma, i geodezije</w:t>
      </w:r>
    </w:p>
    <w:p w14:paraId="248D7A7F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organiziranje i provođenje energetskih pregleda i energetsko certificiranje zgrada s jednostavnim i sa složenim tehničkim sustavom te ostalih građevina u dijelu koji se odnosi na arhitektonsko-građevinski dio</w:t>
      </w:r>
    </w:p>
    <w:p w14:paraId="62A11447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tehnološka unaprjeđenja, racionalizacije i inovacije u održivoj gradnji i održivom korištenju prostora</w:t>
      </w:r>
    </w:p>
    <w:p w14:paraId="5893E632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izrada nacrta prostornih planova i nacrta izvješća o stanju u prostoru te obavljanje poslova u vezi s pripremom i donošenjem prostornih planova i izvješća o stanju u prostoru </w:t>
      </w:r>
    </w:p>
    <w:p w14:paraId="3CF2F66A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izrada natječajnih elaborata za provođenje natječaja s područja arhitekture, urbanizma, unutarnjeg uređenja i uređenja krajobraza </w:t>
      </w:r>
    </w:p>
    <w:p w14:paraId="4FE409B6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i vođenje registra objekata i infrastrukture, te praćenje građevnog stanja, stanja eksploatacije i stanja održavanja</w:t>
      </w:r>
    </w:p>
    <w:p w14:paraId="7A5576B6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stalnih geodetskih točaka za potrebe osnovnih geodetskih radova</w:t>
      </w:r>
    </w:p>
    <w:p w14:paraId="3BB81E07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izmjere, označivanja i održavanja državne granice</w:t>
      </w:r>
    </w:p>
    <w:p w14:paraId="2164BA67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izrade Hrvatske osnovne karte</w:t>
      </w:r>
    </w:p>
    <w:p w14:paraId="304FBC50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izrada elaborata izrade digitalnih </w:t>
      </w:r>
      <w:proofErr w:type="spellStart"/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ortofotokarata</w:t>
      </w:r>
      <w:proofErr w:type="spellEnd"/>
    </w:p>
    <w:p w14:paraId="7DF81A0E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izrade detaljnih topografskih karata</w:t>
      </w:r>
    </w:p>
    <w:p w14:paraId="320C98DA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izrade preglednih topografskih karata</w:t>
      </w:r>
    </w:p>
    <w:p w14:paraId="2850B026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katastarske izmjere</w:t>
      </w:r>
    </w:p>
    <w:p w14:paraId="3A826A30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izrada elaborata tehničke </w:t>
      </w:r>
      <w:proofErr w:type="spellStart"/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reambulacije</w:t>
      </w:r>
      <w:proofErr w:type="spellEnd"/>
    </w:p>
    <w:p w14:paraId="383078BF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prevođenja katastarskog plana u digitalni oblik</w:t>
      </w:r>
    </w:p>
    <w:p w14:paraId="369511E7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prevođenja digitalnog katastarskog plana u zadanu strukturu</w:t>
      </w:r>
    </w:p>
    <w:p w14:paraId="0FDC8E95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elaborata za homogenizaciju katastarskog plana</w:t>
      </w:r>
    </w:p>
    <w:p w14:paraId="1B569E6E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parcelacijskih i drugih geodetskih elaborata katastra zemljišta</w:t>
      </w:r>
    </w:p>
    <w:p w14:paraId="6508B38E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parcelacijskih i drugih geodetskih elaborata katastra nekretnina</w:t>
      </w:r>
    </w:p>
    <w:p w14:paraId="19DD475F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parcelacijskih i drugih geodetskih elaborata za potrebe pojedinačnog prevođenja katastarskih čestica katastra zemljišta u katastarske čestice katastra nekretnina</w:t>
      </w:r>
    </w:p>
    <w:p w14:paraId="5907D9DB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izrada elaborata katastra vodova i stručne geodetske poslove za potrebe pružanja geodetskih usluga</w:t>
      </w:r>
    </w:p>
    <w:p w14:paraId="1D3D984D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tehničko vođenje katastra vodova</w:t>
      </w:r>
    </w:p>
    <w:p w14:paraId="5F089178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posebnih geodetskih podloga za potrebe izrade dokumenata i akata prostornog uređenja</w:t>
      </w:r>
    </w:p>
    <w:p w14:paraId="66C19E14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posebnih geodetskih podloga za potrebe projektiranja</w:t>
      </w:r>
    </w:p>
    <w:p w14:paraId="2CDA5E47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posebnih elaborata stanja građevine prije rekonstrukcije</w:t>
      </w:r>
    </w:p>
    <w:p w14:paraId="505F8AAE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geodetskoga projekta</w:t>
      </w:r>
    </w:p>
    <w:p w14:paraId="7C581A96" w14:textId="1FF05ABC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proofErr w:type="spellStart"/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iskolčen</w:t>
      </w:r>
      <w:r w:rsidR="007A1387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proofErr w:type="spellEnd"/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građevine i izradu elaborata </w:t>
      </w:r>
      <w:proofErr w:type="spellStart"/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iskolčenja</w:t>
      </w:r>
      <w:proofErr w:type="spellEnd"/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građevine</w:t>
      </w:r>
    </w:p>
    <w:p w14:paraId="5B00E37A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geodetskog situacijskog nacrta i izgrađene građevine</w:t>
      </w:r>
    </w:p>
    <w:p w14:paraId="4C23AA3E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geodetsko praćenje građevine u gradnji i izradu elaborata geodetskog praćenja</w:t>
      </w:r>
    </w:p>
    <w:p w14:paraId="0F46EE15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praćenje pomaka građevine u njezinom održavanju i izradu elaborata geodetskog praćenja</w:t>
      </w:r>
    </w:p>
    <w:p w14:paraId="2F286223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geodetski poslovi koji se obavljaju u okviru urbane komasacije</w:t>
      </w:r>
    </w:p>
    <w:p w14:paraId="3B49AFA2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projekta komasacije poljoprivrednog zemljišta i geodetske poslove koji se obavljaju u okviru komasacije poljoprivrednog zemljišta</w:t>
      </w:r>
    </w:p>
    <w:p w14:paraId="14E3A84E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izrada posebnih geodetskih podloga za zaštićena i štićena područja</w:t>
      </w:r>
    </w:p>
    <w:p w14:paraId="7CBC72A0" w14:textId="77777777" w:rsidR="0087231B" w:rsidRPr="00FB5B69" w:rsidRDefault="0087231B" w:rsidP="002959C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 nadzor nad radovima</w:t>
      </w:r>
    </w:p>
    <w:p w14:paraId="64867077" w14:textId="77777777" w:rsidR="0087231B" w:rsidRPr="00FB5B69" w:rsidRDefault="0087231B" w:rsidP="002959C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 stručne, znanstvene i tehničke djelatnosti</w:t>
      </w:r>
    </w:p>
    <w:p w14:paraId="14956751" w14:textId="77777777" w:rsidR="0087231B" w:rsidRPr="00FB5B69" w:rsidRDefault="0087231B" w:rsidP="00246E6D">
      <w:pPr>
        <w:pStyle w:val="Odlomakpopisa"/>
        <w:spacing w:beforeLines="40" w:before="96" w:afterLines="40" w:after="9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A938FC" w14:textId="77777777" w:rsidR="0087231B" w:rsidRPr="00FB5B69" w:rsidRDefault="0087231B" w:rsidP="00246E6D">
      <w:pPr>
        <w:pStyle w:val="Odlomakpopisa"/>
        <w:spacing w:beforeLines="40" w:before="96" w:afterLines="40" w:after="96"/>
        <w:ind w:left="1080"/>
        <w:jc w:val="both"/>
      </w:pPr>
    </w:p>
    <w:p w14:paraId="70FBFBFA" w14:textId="77777777" w:rsidR="0087231B" w:rsidRPr="00FB5B69" w:rsidRDefault="0087231B" w:rsidP="00246E6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B5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Zakonske i druge pravne osnove</w:t>
      </w:r>
    </w:p>
    <w:p w14:paraId="0DFE9D42" w14:textId="6FCD0406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Zakon o visokom obrazovanju i znanstvenoj djelatnosti </w:t>
      </w:r>
      <w:hyperlink r:id="rId9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(</w:t>
        </w:r>
        <w:r w:rsidR="007A1387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</w:t>
        </w:r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 br. 119/22.)</w:t>
        </w:r>
      </w:hyperlink>
    </w:p>
    <w:p w14:paraId="7BE3B521" w14:textId="44B20643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Zakon o radu (</w:t>
      </w:r>
      <w:r w:rsidR="007A1387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Narodne novine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br. 93/14., 127/17., 98/19., 151/22.</w:t>
      </w:r>
      <w:r w:rsidR="00FB5B69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,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FB5B69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46/23. i 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64/23.)</w:t>
      </w:r>
    </w:p>
    <w:p w14:paraId="69A8B01E" w14:textId="316E3501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Zakon o ustanovama (</w:t>
      </w:r>
      <w:r w:rsidR="007A1387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Narodne novine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br. 76/93., 29/97., 47/99., 35/08., 127/19. i 151/22.)</w:t>
      </w:r>
    </w:p>
    <w:p w14:paraId="077955EE" w14:textId="11CFD816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Zakon o zaštiti na radu (</w:t>
      </w:r>
      <w:r w:rsidR="007A1387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Narodne novine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br. 71/14., 118/14., 154/14. , 94/18. i 96/18.)</w:t>
      </w:r>
    </w:p>
    <w:p w14:paraId="54E23592" w14:textId="686AF181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Zakon o akademskom i stručnom nazivu i akademskom stupnju (</w:t>
      </w:r>
      <w:r w:rsidR="007A1387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Narodne novine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br. 123/23.)</w:t>
      </w:r>
    </w:p>
    <w:p w14:paraId="052DFF07" w14:textId="7C0F345E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Zakon o plaćama u </w:t>
      </w:r>
      <w:r w:rsidR="00FB5B69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državnoj službi i 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javnim službama</w:t>
      </w:r>
      <w:r w:rsidRPr="00FB5B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7A1387">
        <w:rPr>
          <w:rFonts w:ascii="Times New Roman" w:eastAsia="Calibri" w:hAnsi="Times New Roman" w:cs="Times New Roman"/>
          <w:sz w:val="24"/>
          <w:szCs w:val="24"/>
          <w:lang w:eastAsia="en-US"/>
        </w:rPr>
        <w:t>Narodne novine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br. </w:t>
      </w:r>
      <w:r w:rsid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155/23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.)</w:t>
      </w:r>
    </w:p>
    <w:p w14:paraId="509D72FA" w14:textId="680A4F1C" w:rsidR="0087231B" w:rsidRPr="00FB5B69" w:rsidRDefault="0087231B" w:rsidP="007A13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Zakon o javnoj nabavi (</w:t>
      </w:r>
      <w:r w:rsidR="007A1387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 novine</w:t>
      </w: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br. 120/16. i 114/22.)</w:t>
      </w:r>
    </w:p>
    <w:p w14:paraId="4350CCF1" w14:textId="39E9B44A" w:rsidR="0087231B" w:rsidRPr="00FB5B69" w:rsidRDefault="0087231B" w:rsidP="007A13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Zakon o sustavu unutarnjih kontrola u javnom sektoru (</w:t>
      </w:r>
      <w:r w:rsidR="007A1387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 novine</w:t>
      </w: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br. 78/15. i 102/19.)</w:t>
      </w:r>
    </w:p>
    <w:p w14:paraId="0DD31784" w14:textId="5035FF5C" w:rsidR="00FB5B69" w:rsidRDefault="00FB5B69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bdr w:val="none" w:sz="0" w:space="0" w:color="auto" w:frame="1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bdr w:val="none" w:sz="0" w:space="0" w:color="auto" w:frame="1"/>
          <w:lang w:eastAsia="en-US"/>
        </w:rPr>
        <w:t>Temeljni kolektivni ugovor za zaposlenike u javnim službama</w:t>
      </w:r>
      <w:r>
        <w:rPr>
          <w:rFonts w:ascii="Times New Roman" w:eastAsia="Calibri" w:hAnsi="Times New Roman" w:cs="Times New Roman"/>
          <w:color w:val="333333"/>
          <w:sz w:val="24"/>
          <w:szCs w:val="24"/>
          <w:bdr w:val="none" w:sz="0" w:space="0" w:color="auto" w:frame="1"/>
          <w:lang w:eastAsia="en-US"/>
        </w:rPr>
        <w:t xml:space="preserve"> (</w:t>
      </w:r>
      <w:r w:rsidR="007A1387">
        <w:rPr>
          <w:rFonts w:ascii="Times New Roman" w:eastAsia="Calibri" w:hAnsi="Times New Roman" w:cs="Times New Roman"/>
          <w:color w:val="333333"/>
          <w:sz w:val="24"/>
          <w:szCs w:val="24"/>
          <w:bdr w:val="none" w:sz="0" w:space="0" w:color="auto" w:frame="1"/>
          <w:lang w:eastAsia="en-US"/>
        </w:rPr>
        <w:t>Narodne novine</w:t>
      </w:r>
      <w:r>
        <w:rPr>
          <w:rFonts w:ascii="Times New Roman" w:eastAsia="Calibri" w:hAnsi="Times New Roman" w:cs="Times New Roman"/>
          <w:color w:val="333333"/>
          <w:sz w:val="24"/>
          <w:szCs w:val="24"/>
          <w:bdr w:val="none" w:sz="0" w:space="0" w:color="auto" w:frame="1"/>
          <w:lang w:eastAsia="en-US"/>
        </w:rPr>
        <w:t xml:space="preserve"> br. 29/24.)</w:t>
      </w:r>
    </w:p>
    <w:p w14:paraId="7639CDE2" w14:textId="012E038D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Kolektivni ugovor za znanost i visoko obrazovanje (</w:t>
      </w:r>
      <w:r w:rsidR="007A1387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Narodne novine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br. 9/19., 9/19, 122/19., 52/20.)</w:t>
      </w:r>
    </w:p>
    <w:p w14:paraId="229C5A61" w14:textId="1C0D9D0D" w:rsidR="00FB5B69" w:rsidRDefault="00FB5B69" w:rsidP="007A1387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Uredba o nazivima radnih mjesta, uvjetima za raspored i koeficijentima za obračun plaće u javnim službama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7A1387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br. 22/24.) </w:t>
      </w:r>
    </w:p>
    <w:p w14:paraId="6343F7B4" w14:textId="549B1291" w:rsidR="0087231B" w:rsidRPr="00FB5B69" w:rsidRDefault="00FB5B69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Pravilnik o znanstvenim i interdisciplinarnim područjima, poljima i granama te umjetničkom području, poljima i granama </w:t>
      </w:r>
      <w:r w:rsidR="0087231B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(</w:t>
      </w:r>
      <w:r w:rsidR="007A1387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Narodne novine</w:t>
      </w:r>
      <w:r w:rsidR="0087231B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br. </w:t>
      </w:r>
      <w:r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3/24</w:t>
      </w:r>
      <w:r w:rsidR="0087231B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.)</w:t>
      </w:r>
    </w:p>
    <w:p w14:paraId="4182A4A2" w14:textId="1EDA317B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Odluka o obliku i načinu provedbe nastupnog predavanja za izbor u znanstveno-nastavna zvanja, umjetničko-nastavna i nastavna zvanja (</w:t>
      </w:r>
      <w:hyperlink r:id="rId10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 br. 129/05</w:t>
        </w:r>
      </w:hyperlink>
      <w:r w:rsidR="007A1387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en-US"/>
        </w:rPr>
        <w:t>.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)</w:t>
      </w:r>
    </w:p>
    <w:p w14:paraId="4BF2B870" w14:textId="7F90A1C8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Odluka o nužnim uvjetima za ocjenu nastavne i stručne djelatnosti u postupku izbora u nastavna zvanja (</w:t>
      </w:r>
      <w:hyperlink r:id="rId11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 br. 13/12)</w:t>
        </w:r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br/>
        </w:r>
      </w:hyperlink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Odluka o izmjeni i dopuni Odluke o nužnim uvjetima za ocjenu nastavne i stručne djelatnosti u postupku izbora u nastavna zvanja</w:t>
      </w:r>
      <w:r w:rsidR="007A1387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(</w:t>
      </w:r>
      <w:hyperlink r:id="rId12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 br. 120/21</w:t>
        </w:r>
      </w:hyperlink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)</w:t>
      </w:r>
    </w:p>
    <w:p w14:paraId="399A7582" w14:textId="4BC303BD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lastRenderedPageBreak/>
        <w:t>Odluka o nužnim uvjetima za ocjenu nastavne i stručne djelatnosti u postupku izbora u znanstveno-nastavna zvanja</w:t>
      </w:r>
      <w:r w:rsidR="007A1387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(</w:t>
      </w:r>
      <w:hyperlink r:id="rId13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 br. 106/06</w:t>
        </w:r>
      </w:hyperlink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i 122/17) </w:t>
      </w:r>
    </w:p>
    <w:p w14:paraId="759AC760" w14:textId="40EE7E99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Odluka o izmjeni i dopuni Odluke o nužnim uvjetima za ocjenu nastavne i znanstveno-stručne djelatnosti u postupku izbora u znanstveno-nastavna zvanja </w:t>
      </w:r>
      <w:r w:rsidR="007A1387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(</w:t>
      </w:r>
      <w:hyperlink r:id="rId14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 br. 120/21</w:t>
        </w:r>
      </w:hyperlink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)</w:t>
      </w:r>
    </w:p>
    <w:p w14:paraId="4DDFB532" w14:textId="0C4CE869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Odluka o minimalnim uvjetima radnih obveza za reizbor na znanstvena, znanstveno-nastavna, umjetničko-nastavna, nastavna i stručna radna mjesta te o obliku izvješća stručnog povjerenstva o radu zaposlenika u postupku reizbora (</w:t>
      </w:r>
      <w:hyperlink r:id="rId15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 br. 24/21</w:t>
        </w:r>
      </w:hyperlink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)</w:t>
      </w:r>
    </w:p>
    <w:p w14:paraId="1A371ACE" w14:textId="3DFACDB9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Pravilnik o uvjetima za izbor u znanstvena zvanja (</w:t>
      </w:r>
      <w:hyperlink r:id="rId16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 br. 28/17.)</w:t>
        </w:r>
      </w:hyperlink>
    </w:p>
    <w:p w14:paraId="4F0C09EE" w14:textId="469CA61D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Pravilnik o izmjenama i dopunama Pravilnika o uvjetima za izbor u znanstvena zvanja</w:t>
      </w:r>
      <w:r w:rsidR="007A1387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</w:t>
      </w:r>
      <w:hyperlink r:id="rId17" w:history="1"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(</w:t>
        </w:r>
        <w:r w:rsidR="007A1387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Narodne novine</w:t>
        </w:r>
        <w:r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 br. 111/22.</w:t>
        </w:r>
      </w:hyperlink>
      <w:r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)</w:t>
      </w:r>
    </w:p>
    <w:p w14:paraId="1BE5D90A" w14:textId="71E2170F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 o sustavu unutarnjih kontrola u javnom sektoru</w:t>
      </w:r>
      <w:r w:rsid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B5B69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(</w:t>
      </w:r>
      <w:hyperlink r:id="rId18" w:history="1">
        <w:r w:rsidR="00FB5B69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Narodne novine br. </w:t>
        </w:r>
        <w:r w:rsid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58</w:t>
        </w:r>
        <w:r w:rsidR="00FB5B69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/1</w:t>
        </w:r>
        <w:r w:rsid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6</w:t>
        </w:r>
        <w:r w:rsidR="00FB5B69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.)</w:t>
        </w:r>
      </w:hyperlink>
    </w:p>
    <w:p w14:paraId="5BC4057C" w14:textId="2EA342B6" w:rsidR="0087231B" w:rsidRPr="00FB5B69" w:rsidRDefault="0087231B" w:rsidP="007A13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 o unutarnjoj reviziji u javnom sektoru</w:t>
      </w:r>
      <w:r w:rsid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B5B69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(</w:t>
      </w:r>
      <w:hyperlink r:id="rId19" w:history="1">
        <w:r w:rsidR="00FB5B69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Narodne novine br. </w:t>
        </w:r>
      </w:hyperlink>
      <w:r w:rsidR="00FB5B69"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42/16</w:t>
      </w:r>
      <w:r w:rsid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. i</w:t>
      </w:r>
      <w:r w:rsidR="00FB5B69"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77/19</w:t>
      </w:r>
      <w:r w:rsid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.)</w:t>
      </w:r>
    </w:p>
    <w:p w14:paraId="0A135060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0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Pravilnik o provedbi postupka izbora/reizbora </w:t>
        </w:r>
        <w:r w:rsid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na</w:t>
        </w:r>
      </w:hyperlink>
      <w:r w:rsidR="00FB5B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en-US"/>
        </w:rPr>
        <w:t xml:space="preserve"> znanstveno-nastavna, umjetničko-nastavna, nastavna, suradnička i stručna radna mjesta na Sveučilištu Josipa Jurja Strossmayera u Osijeku</w:t>
      </w:r>
    </w:p>
    <w:p w14:paraId="21FF1CB0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1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Statut</w:t>
        </w:r>
      </w:hyperlink>
      <w:r w:rsidR="0087231B" w:rsidRPr="00FB5B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Sveučilišta Josipa Jurja Strossmayera u Osijeku</w:t>
      </w:r>
    </w:p>
    <w:p w14:paraId="52FC4D0D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2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Statut Građevinskog i arhitektonskog fakulteta Osijek </w:t>
        </w:r>
      </w:hyperlink>
    </w:p>
    <w:p w14:paraId="3424BFA5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3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izdavačkoj djelatnosti Sveučilišta Josipa Jurja Strossmayera u Osijeku</w:t>
        </w:r>
      </w:hyperlink>
    </w:p>
    <w:p w14:paraId="00D8E135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4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raspisivanju i provedbi javnih natječaja na sveučilištu Josipa Jurja Strossmayera u Osijeku</w:t>
        </w:r>
      </w:hyperlink>
    </w:p>
    <w:p w14:paraId="1B444D94" w14:textId="77777777" w:rsidR="0087231B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en-US"/>
        </w:rPr>
      </w:pPr>
      <w:hyperlink r:id="rId25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Etički kodeks Sveučilišta Josipa Jurja Strossmayera u Osijeku</w:t>
        </w:r>
      </w:hyperlink>
    </w:p>
    <w:p w14:paraId="2660D766" w14:textId="77777777" w:rsidR="0087231B" w:rsidRPr="00FB5B69" w:rsidRDefault="0087231B" w:rsidP="007A1387">
      <w:pPr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Pravilnik o </w:t>
      </w:r>
      <w:proofErr w:type="spellStart"/>
      <w:r w:rsidRPr="00FB5B69">
        <w:rPr>
          <w:rFonts w:ascii="Times New Roman" w:eastAsia="Calibri" w:hAnsi="Times New Roman" w:cs="Times New Roman"/>
          <w:sz w:val="24"/>
          <w:szCs w:val="24"/>
          <w:lang w:eastAsia="en-US"/>
        </w:rPr>
        <w:t>Erasmus</w:t>
      </w:r>
      <w:proofErr w:type="spellEnd"/>
      <w:r w:rsidRPr="00FB5B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+ programu međunarodne mobilnosti – pročišćeni tekst </w:t>
      </w:r>
    </w:p>
    <w:p w14:paraId="6C341E9C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6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Pravilnik o financijskom poslovanju </w:t>
        </w:r>
        <w:r w:rsidR="006C30F3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–</w:t>
        </w:r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 pročišćeni</w:t>
        </w:r>
        <w:r w:rsidR="006C30F3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 </w:t>
        </w:r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tekst</w:t>
        </w:r>
      </w:hyperlink>
    </w:p>
    <w:p w14:paraId="268731DC" w14:textId="77777777" w:rsidR="006C30F3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en-US"/>
        </w:rPr>
      </w:pPr>
      <w:hyperlink r:id="rId27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poslijediplomskim studijima na Sveučilištu Josipa Jurja Strossmayera u Osijeku</w:t>
        </w:r>
      </w:hyperlink>
      <w:r w:rsidR="0087231B" w:rsidRPr="00FB5B6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</w:p>
    <w:p w14:paraId="2B908570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8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sprječavanju nepotizma</w:t>
        </w:r>
      </w:hyperlink>
    </w:p>
    <w:p w14:paraId="625BDC39" w14:textId="77777777" w:rsidR="006C30F3" w:rsidRPr="00FB5B69" w:rsidRDefault="006C30F3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Pravilnik o stegovnoj odgovornosti zaposlenika Sveučilišta Josipa Jurja Strossmayera u Osijeku</w:t>
      </w:r>
    </w:p>
    <w:p w14:paraId="791C5BEF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29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stegovnoj odgovornosti studenata</w:t>
        </w:r>
      </w:hyperlink>
    </w:p>
    <w:p w14:paraId="4FFFC8E0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0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studijima i studiranju na Sveučilištu Josipa Jurja Strossmayera u Osijeku</w:t>
        </w:r>
      </w:hyperlink>
    </w:p>
    <w:p w14:paraId="22CA0654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1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sukobima interesa i obveza</w:t>
        </w:r>
      </w:hyperlink>
    </w:p>
    <w:p w14:paraId="3B618CE6" w14:textId="77777777" w:rsidR="006C30F3" w:rsidRPr="006C30F3" w:rsidRDefault="006C30F3" w:rsidP="007A1387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C30F3">
        <w:rPr>
          <w:rFonts w:ascii="Times New Roman" w:hAnsi="Times New Roman" w:cs="Times New Roman"/>
          <w:sz w:val="24"/>
          <w:szCs w:val="24"/>
        </w:rPr>
        <w:t>Pravilnik o ustroju i djelovanju sustava za osiguranje kvalitete na Sveučilištu Josipa Jurja Strossmayera u Osijeku (pročišćeni tekst)</w:t>
      </w:r>
    </w:p>
    <w:p w14:paraId="286718DD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2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uvjetima i načinu ostvarivanja prava na dodjelu studentskih stipendija i potpora Sveučilišta Josipa Jurja Strossmayera u Osijeku</w:t>
        </w:r>
      </w:hyperlink>
    </w:p>
    <w:p w14:paraId="1631B0CD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3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Pravilnik o vrednovanju rada asistenata, </w:t>
        </w:r>
        <w:proofErr w:type="spellStart"/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poslijedoktoranada</w:t>
        </w:r>
        <w:proofErr w:type="spellEnd"/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 i mentora</w:t>
        </w:r>
      </w:hyperlink>
    </w:p>
    <w:p w14:paraId="0B586C23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4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popisu imovine i obveza i postupanju s imovinom</w:t>
        </w:r>
      </w:hyperlink>
    </w:p>
    <w:p w14:paraId="5A392F03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5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Pravilnik o radu Građevinskog i arhitektonskog fakulteta </w:t>
        </w:r>
      </w:hyperlink>
    </w:p>
    <w:p w14:paraId="5ECD7E0C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6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korištenju službenog vozila</w:t>
        </w:r>
      </w:hyperlink>
      <w:r w:rsidR="00BB1035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en-US"/>
        </w:rPr>
        <w:t>-pročišćeni tekst</w:t>
      </w:r>
    </w:p>
    <w:p w14:paraId="0C698B26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7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Pravilnik o postupku unutarnjeg prijavljivanja nepravilnosti </w:t>
        </w:r>
      </w:hyperlink>
    </w:p>
    <w:p w14:paraId="480BDCCA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38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 xml:space="preserve">Pravilnik o zaštiti osobnih podataka </w:t>
        </w:r>
      </w:hyperlink>
    </w:p>
    <w:p w14:paraId="0A21FCC4" w14:textId="3C9B793F" w:rsidR="0087231B" w:rsidRPr="00EE156E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39" w:tgtFrame="_blank" w:history="1">
        <w:r w:rsidR="0087231B" w:rsidRPr="00EE156E">
          <w:rPr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lang w:eastAsia="en-US"/>
          </w:rPr>
          <w:t>Pravilnik o kvaliteti - 2019</w:t>
        </w:r>
      </w:hyperlink>
      <w:r w:rsidR="00BA3A1E" w:rsidRPr="00EE156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en-US"/>
        </w:rPr>
        <w:t>.</w:t>
      </w:r>
    </w:p>
    <w:p w14:paraId="54EA9456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40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završnim i diplomskim ispitima - pročišćeni tekst</w:t>
        </w:r>
      </w:hyperlink>
    </w:p>
    <w:p w14:paraId="46499CBB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41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Pravila za upravljanje dokumentarnim gradivom</w:t>
        </w:r>
      </w:hyperlink>
    </w:p>
    <w:p w14:paraId="110E8495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42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nastavnim i stručnim bazama</w:t>
        </w:r>
      </w:hyperlink>
    </w:p>
    <w:p w14:paraId="75010904" w14:textId="77777777" w:rsidR="0087231B" w:rsidRPr="00FB5B69" w:rsidRDefault="00E455E6" w:rsidP="007A1387">
      <w:pPr>
        <w:spacing w:after="0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hyperlink r:id="rId43" w:tgtFrame="_blank" w:history="1">
        <w:r w:rsidR="0087231B" w:rsidRPr="00FB5B69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lang w:eastAsia="en-US"/>
          </w:rPr>
          <w:t>Pravilnik o obveznoj stručnoj praksi studenata</w:t>
        </w:r>
      </w:hyperlink>
    </w:p>
    <w:p w14:paraId="43C3C3D5" w14:textId="77777777" w:rsidR="0087231B" w:rsidRPr="00FB5B69" w:rsidRDefault="0087231B" w:rsidP="007A13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Pravilnik o </w:t>
      </w:r>
      <w:r w:rsidR="00BB1035">
        <w:rPr>
          <w:rFonts w:ascii="Times New Roman" w:eastAsia="Times New Roman" w:hAnsi="Times New Roman" w:cs="Times New Roman"/>
          <w:sz w:val="24"/>
          <w:szCs w:val="24"/>
          <w:lang w:eastAsia="en-GB"/>
        </w:rPr>
        <w:t>sistematizaciji radnih</w:t>
      </w: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mjesta Građevinskog i arhitektonskog fakulteta Osijek</w:t>
      </w:r>
    </w:p>
    <w:p w14:paraId="483C9314" w14:textId="77777777" w:rsidR="0087231B" w:rsidRPr="00FB5B69" w:rsidRDefault="0087231B" w:rsidP="007A13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B69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 o uredskom poslovanju</w:t>
      </w:r>
    </w:p>
    <w:p w14:paraId="56E331CB" w14:textId="77777777" w:rsidR="00B85BE0" w:rsidRDefault="0087231B" w:rsidP="007A138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5B69">
        <w:rPr>
          <w:rFonts w:ascii="Times New Roman" w:eastAsia="Calibri" w:hAnsi="Times New Roman" w:cs="Times New Roman"/>
          <w:sz w:val="24"/>
          <w:szCs w:val="24"/>
          <w:lang w:eastAsia="en-US"/>
        </w:rPr>
        <w:t>Strategija razvoja Građevinskog i arhitektonsko</w:t>
      </w:r>
      <w:r w:rsidR="00B85BE0">
        <w:rPr>
          <w:rFonts w:ascii="Times New Roman" w:eastAsia="Calibri" w:hAnsi="Times New Roman" w:cs="Times New Roman"/>
          <w:sz w:val="24"/>
          <w:szCs w:val="24"/>
          <w:lang w:eastAsia="en-US"/>
        </w:rPr>
        <w:t>g fakulteta Osijek 2023. – 2027.</w:t>
      </w:r>
    </w:p>
    <w:p w14:paraId="64FA162E" w14:textId="57DF16B4" w:rsidR="00B85BE0" w:rsidRDefault="00B85BE0" w:rsidP="007A138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Zakon o proračunu (Nar</w:t>
      </w:r>
      <w:r w:rsidR="00610851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odne</w:t>
      </w: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nov</w:t>
      </w:r>
      <w:r w:rsidR="00610851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ine br.</w:t>
      </w: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144/21)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</w:p>
    <w:p w14:paraId="6931CFF4" w14:textId="2CA0BADC" w:rsidR="00B85BE0" w:rsidRDefault="00B85BE0" w:rsidP="007A138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Pravilnik o proračunskom računovodstvu i računskom planu (</w:t>
      </w:r>
      <w:r w:rsidR="00610851"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</w:t>
      </w:r>
      <w:r w:rsidR="00610851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odne</w:t>
      </w:r>
      <w:r w:rsidR="00610851"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nov</w:t>
      </w:r>
      <w:r w:rsidR="00610851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ine br.</w:t>
      </w: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158/23)</w:t>
      </w:r>
    </w:p>
    <w:p w14:paraId="3703BD66" w14:textId="41F15AA8" w:rsidR="00B85BE0" w:rsidRDefault="00B85BE0" w:rsidP="007A138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Pravilnik o proračunskim klasifikacijama (</w:t>
      </w:r>
      <w:r w:rsidR="00610851"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</w:t>
      </w:r>
      <w:r w:rsidR="00610851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odne</w:t>
      </w:r>
      <w:r w:rsidR="00610851"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nov</w:t>
      </w:r>
      <w:r w:rsidR="00610851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ine br.</w:t>
      </w: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4/24)</w:t>
      </w:r>
    </w:p>
    <w:p w14:paraId="2585D244" w14:textId="3A862128" w:rsidR="00B85BE0" w:rsidRDefault="00B85BE0" w:rsidP="007A138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Pravilnik o polugodišnjem i godišnjem </w:t>
      </w:r>
      <w:proofErr w:type="spellStart"/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izvještaju</w:t>
      </w:r>
      <w:proofErr w:type="spellEnd"/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o izvršenju proračuna i financijskog plana (</w:t>
      </w:r>
      <w:r w:rsidR="00610851"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</w:t>
      </w:r>
      <w:r w:rsidR="00610851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odne</w:t>
      </w:r>
      <w:r w:rsidR="00610851"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nov</w:t>
      </w:r>
      <w:r w:rsidR="00610851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ine br.</w:t>
      </w: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85/23)</w:t>
      </w:r>
    </w:p>
    <w:p w14:paraId="19E036E0" w14:textId="29EAFE7A" w:rsidR="00AE356C" w:rsidRPr="00B85BE0" w:rsidRDefault="00B85BE0" w:rsidP="007A13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Pravilnik o planiranju u sustavu proračuna (</w:t>
      </w:r>
      <w:r w:rsidR="00610851"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Nar</w:t>
      </w:r>
      <w:r w:rsidR="00610851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odne</w:t>
      </w:r>
      <w:r w:rsidR="00610851" w:rsidRPr="00B85BE0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nov</w:t>
      </w:r>
      <w:r w:rsidR="00610851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ine br.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1/24) </w:t>
      </w:r>
    </w:p>
    <w:p w14:paraId="49A5DD61" w14:textId="0432BBC1" w:rsidR="00967355" w:rsidRDefault="00967355" w:rsidP="00246E6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488C59" w14:textId="77777777" w:rsidR="00E92171" w:rsidRPr="00310DD7" w:rsidRDefault="00E92171" w:rsidP="00246E6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10D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A621003 Redovna djelatnost Sveučilišta u Osijeku</w:t>
      </w:r>
    </w:p>
    <w:p w14:paraId="283CD3AD" w14:textId="77777777" w:rsidR="00E92171" w:rsidRPr="009E443D" w:rsidRDefault="00E92171" w:rsidP="00295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43D">
        <w:rPr>
          <w:rFonts w:ascii="Times New Roman" w:hAnsi="Times New Roman" w:cs="Times New Roman"/>
          <w:sz w:val="24"/>
          <w:szCs w:val="24"/>
        </w:rPr>
        <w:t>Zakonske i druge pravne osnove</w:t>
      </w:r>
    </w:p>
    <w:p w14:paraId="4091672B" w14:textId="77777777" w:rsidR="00E92171" w:rsidRPr="009E443D" w:rsidRDefault="00E92171" w:rsidP="002959C5">
      <w:pPr>
        <w:pStyle w:val="Standard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E443D">
        <w:t xml:space="preserve">Zakon o znanstvenoj djelatnosti i visokom obrazovanju </w:t>
      </w:r>
    </w:p>
    <w:p w14:paraId="252FB5DD" w14:textId="77777777" w:rsidR="00E92171" w:rsidRPr="009E443D" w:rsidRDefault="00E92171" w:rsidP="002959C5">
      <w:pPr>
        <w:pStyle w:val="Standard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E443D">
        <w:t xml:space="preserve">Kolektivni ugovor za znanost i visoko obrazovanje </w:t>
      </w:r>
    </w:p>
    <w:p w14:paraId="32609F93" w14:textId="77777777" w:rsidR="00E92171" w:rsidRPr="009E443D" w:rsidRDefault="00E92171" w:rsidP="002959C5">
      <w:pPr>
        <w:pStyle w:val="Standard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E443D">
        <w:t>Strategija razvoja Građevinskog i arhitektonskog fakulteta Osijek 2023. – 2027.</w:t>
      </w:r>
    </w:p>
    <w:p w14:paraId="3FD69E66" w14:textId="5368B6A1" w:rsidR="00E92171" w:rsidRPr="009E443D" w:rsidRDefault="00E92171" w:rsidP="002959C5">
      <w:pPr>
        <w:pStyle w:val="Standard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E443D">
        <w:t>Strategija Sveučilišta Josipa Jurja Strossmayera u Osijeku 2021. – 2030.</w:t>
      </w:r>
    </w:p>
    <w:p w14:paraId="73331840" w14:textId="0A364052" w:rsidR="002959C5" w:rsidRPr="009E443D" w:rsidRDefault="002959C5" w:rsidP="002959C5">
      <w:pPr>
        <w:pStyle w:val="StandardWeb"/>
        <w:spacing w:before="0" w:beforeAutospacing="0" w:after="200" w:afterAutospacing="0" w:line="276" w:lineRule="auto"/>
        <w:jc w:val="both"/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9E443D" w:rsidRPr="009E443D" w14:paraId="0174187E" w14:textId="77777777" w:rsidTr="002959C5">
        <w:trPr>
          <w:trHeight w:val="705"/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0B887100" w14:textId="67A9138D" w:rsidR="009E443D" w:rsidRPr="009E443D" w:rsidRDefault="009E443D" w:rsidP="0061085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C63B889" w14:textId="65D4ECF5" w:rsidR="009E443D" w:rsidRPr="009E443D" w:rsidRDefault="009E443D" w:rsidP="0061085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Plan 2025.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3481D03" w14:textId="77777777" w:rsidR="009E443D" w:rsidRPr="009E443D" w:rsidRDefault="009E443D" w:rsidP="00610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Povećanje/</w:t>
            </w:r>
          </w:p>
          <w:p w14:paraId="68AB27B3" w14:textId="508DBFAD" w:rsidR="009E443D" w:rsidRPr="009E443D" w:rsidRDefault="009E443D" w:rsidP="006108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smanjenje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91EE642" w14:textId="1F036137" w:rsidR="009E443D" w:rsidRPr="009E443D" w:rsidRDefault="009E443D" w:rsidP="00610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Novi plan 2025.</w:t>
            </w:r>
          </w:p>
        </w:tc>
      </w:tr>
      <w:tr w:rsidR="009E443D" w:rsidRPr="009E443D" w14:paraId="38DF5612" w14:textId="77777777" w:rsidTr="002959C5">
        <w:trPr>
          <w:trHeight w:val="1218"/>
          <w:jc w:val="center"/>
        </w:trPr>
        <w:tc>
          <w:tcPr>
            <w:tcW w:w="3402" w:type="dxa"/>
            <w:vAlign w:val="center"/>
          </w:tcPr>
          <w:p w14:paraId="2EBE6F41" w14:textId="51ED81E2" w:rsidR="00E92171" w:rsidRPr="009E443D" w:rsidRDefault="00E92171" w:rsidP="00BA3A1E">
            <w:pPr>
              <w:spacing w:after="0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</w:rPr>
              <w:t>A621003</w:t>
            </w:r>
            <w:r w:rsidR="0023466A" w:rsidRPr="009E443D">
              <w:rPr>
                <w:rFonts w:ascii="Times New Roman" w:hAnsi="Times New Roman" w:cs="Times New Roman"/>
              </w:rPr>
              <w:t xml:space="preserve"> </w:t>
            </w:r>
            <w:r w:rsidRPr="009E443D">
              <w:rPr>
                <w:rFonts w:ascii="Times New Roman" w:hAnsi="Times New Roman" w:cs="Times New Roman"/>
              </w:rPr>
              <w:t>Redovna djelatnost Sveučilišta u Osijeku</w:t>
            </w:r>
          </w:p>
        </w:tc>
        <w:tc>
          <w:tcPr>
            <w:tcW w:w="1701" w:type="dxa"/>
            <w:vAlign w:val="center"/>
          </w:tcPr>
          <w:p w14:paraId="5F7304E0" w14:textId="7472F6A4" w:rsidR="00E92171" w:rsidRPr="009E443D" w:rsidRDefault="00E92171" w:rsidP="00610851">
            <w:pPr>
              <w:jc w:val="right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</w:rPr>
              <w:t>3.</w:t>
            </w:r>
            <w:r w:rsidR="00B77227" w:rsidRPr="009E443D">
              <w:rPr>
                <w:rFonts w:ascii="Times New Roman" w:hAnsi="Times New Roman" w:cs="Times New Roman"/>
              </w:rPr>
              <w:t>739.706,00</w:t>
            </w:r>
          </w:p>
        </w:tc>
        <w:tc>
          <w:tcPr>
            <w:tcW w:w="1701" w:type="dxa"/>
            <w:vAlign w:val="center"/>
          </w:tcPr>
          <w:p w14:paraId="34EB27B4" w14:textId="6C37AF59" w:rsidR="00E92171" w:rsidRPr="009E443D" w:rsidRDefault="001D238F" w:rsidP="006108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160.224</w:t>
            </w:r>
            <w:r w:rsidR="00E92171" w:rsidRPr="009E44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vAlign w:val="center"/>
          </w:tcPr>
          <w:p w14:paraId="4312875A" w14:textId="4B2F7D3C" w:rsidR="00E92171" w:rsidRPr="009E443D" w:rsidRDefault="001D238F" w:rsidP="006108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3.899.930</w:t>
            </w:r>
            <w:r w:rsidR="00E92171" w:rsidRPr="009E443D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6AF5CA3A" w14:textId="77777777" w:rsidR="00E92171" w:rsidRPr="009E443D" w:rsidRDefault="00E92171" w:rsidP="002959C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E443D">
        <w:rPr>
          <w:rFonts w:ascii="Times New Roman" w:hAnsi="Times New Roman" w:cs="Times New Roman"/>
          <w:sz w:val="24"/>
          <w:szCs w:val="24"/>
        </w:rPr>
        <w:t>Ova aktivnost/projekt sastoji se od sljedećih elemenata/</w:t>
      </w:r>
      <w:proofErr w:type="spellStart"/>
      <w:r w:rsidRPr="009E443D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9E443D">
        <w:rPr>
          <w:rFonts w:ascii="Times New Roman" w:hAnsi="Times New Roman" w:cs="Times New Roman"/>
          <w:sz w:val="24"/>
          <w:szCs w:val="24"/>
        </w:rPr>
        <w:t>:</w:t>
      </w:r>
    </w:p>
    <w:p w14:paraId="725BFD2B" w14:textId="200CA925" w:rsidR="00E92171" w:rsidRPr="00E92F68" w:rsidRDefault="00E92171" w:rsidP="00246E6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68">
        <w:rPr>
          <w:rFonts w:ascii="Times New Roman" w:eastAsia="Calibri" w:hAnsi="Times New Roman" w:cs="Times New Roman"/>
          <w:sz w:val="24"/>
          <w:szCs w:val="24"/>
        </w:rPr>
        <w:t>Rashodi za plaće (plaće za redovan rad</w:t>
      </w:r>
      <w:r w:rsidR="00E92F68" w:rsidRPr="00E92F6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E0C3C41" w14:textId="77777777" w:rsidR="00E92171" w:rsidRPr="00E92F68" w:rsidRDefault="00E92171" w:rsidP="00246E6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68">
        <w:rPr>
          <w:rFonts w:ascii="Times New Roman" w:eastAsia="Calibri" w:hAnsi="Times New Roman" w:cs="Times New Roman"/>
          <w:sz w:val="24"/>
          <w:szCs w:val="24"/>
        </w:rPr>
        <w:t>Ostali rashodi za zaposlene (materijalna prava zaposlenika)</w:t>
      </w:r>
    </w:p>
    <w:p w14:paraId="4670572A" w14:textId="77777777" w:rsidR="00E92171" w:rsidRPr="00E92F68" w:rsidRDefault="00E92171" w:rsidP="00246E6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68">
        <w:rPr>
          <w:rFonts w:ascii="Times New Roman" w:eastAsia="Calibri" w:hAnsi="Times New Roman" w:cs="Times New Roman"/>
          <w:sz w:val="24"/>
          <w:szCs w:val="24"/>
        </w:rPr>
        <w:t>Naknada za prijevoz na posao i s posla</w:t>
      </w:r>
    </w:p>
    <w:p w14:paraId="5ECCC005" w14:textId="77777777" w:rsidR="00E92171" w:rsidRPr="00E92F68" w:rsidRDefault="00E92171" w:rsidP="00246E6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68">
        <w:rPr>
          <w:rFonts w:ascii="Times New Roman" w:eastAsia="Calibri" w:hAnsi="Times New Roman" w:cs="Times New Roman"/>
          <w:sz w:val="24"/>
          <w:szCs w:val="24"/>
        </w:rPr>
        <w:t>Sistematski pregledi zaposlenika</w:t>
      </w:r>
    </w:p>
    <w:p w14:paraId="6FEF70E1" w14:textId="77777777" w:rsidR="00E92171" w:rsidRPr="00E92F68" w:rsidRDefault="00E92171" w:rsidP="00246E6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68">
        <w:rPr>
          <w:rFonts w:ascii="Times New Roman" w:eastAsia="Calibri" w:hAnsi="Times New Roman" w:cs="Times New Roman"/>
          <w:sz w:val="24"/>
          <w:szCs w:val="24"/>
        </w:rPr>
        <w:t>Novčana naknada poslodavca zbog nezapošljavanja osoba s invaliditetom</w:t>
      </w:r>
    </w:p>
    <w:p w14:paraId="238F33E3" w14:textId="77777777" w:rsidR="00E92171" w:rsidRPr="00E92F68" w:rsidRDefault="00E92171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E92F68">
        <w:rPr>
          <w:rFonts w:ascii="Times New Roman" w:hAnsi="Times New Roman" w:cs="Times New Roman"/>
          <w:sz w:val="24"/>
          <w:szCs w:val="24"/>
        </w:rPr>
        <w:t>Redovna djelatnost Sveučilišta u Osijeku (aktivnost u proračunu A621003) sastavni je dio financijskog plana, provodi se svake godine i pozicija je na kojoj se planira i ostvaruje najveći iznos rashoda.</w:t>
      </w:r>
    </w:p>
    <w:p w14:paraId="1F93E53F" w14:textId="77777777" w:rsidR="00E92171" w:rsidRPr="00EE156E" w:rsidRDefault="00E92171" w:rsidP="00246E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6E">
        <w:rPr>
          <w:rFonts w:ascii="Times New Roman" w:hAnsi="Times New Roman" w:cs="Times New Roman"/>
          <w:b/>
          <w:sz w:val="24"/>
          <w:szCs w:val="24"/>
        </w:rPr>
        <w:t>Izračun financijskog plana:</w:t>
      </w:r>
    </w:p>
    <w:p w14:paraId="1273F989" w14:textId="37315654" w:rsidR="00E92171" w:rsidRPr="00EE156E" w:rsidRDefault="00E92171" w:rsidP="00BC53C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EE156E">
        <w:rPr>
          <w:rFonts w:ascii="Times New Roman" w:hAnsi="Times New Roman" w:cs="Times New Roman"/>
          <w:sz w:val="24"/>
          <w:szCs w:val="24"/>
        </w:rPr>
        <w:t>Iznose za ovu aktivnost sve sastavnice dobiju od Sveučilišt</w:t>
      </w:r>
      <w:r w:rsidR="00610851" w:rsidRPr="00EE156E">
        <w:rPr>
          <w:rFonts w:ascii="Times New Roman" w:hAnsi="Times New Roman" w:cs="Times New Roman"/>
          <w:sz w:val="24"/>
          <w:szCs w:val="24"/>
        </w:rPr>
        <w:t>a</w:t>
      </w:r>
    </w:p>
    <w:p w14:paraId="0638C65A" w14:textId="77777777" w:rsidR="00E92171" w:rsidRPr="00E92F68" w:rsidRDefault="00E92171" w:rsidP="00246E6D">
      <w:pPr>
        <w:pBdr>
          <w:top w:val="dotted" w:sz="4" w:space="1" w:color="808080" w:themeColor="background1" w:themeShade="80"/>
          <w:bottom w:val="dotted" w:sz="4" w:space="0" w:color="808080" w:themeColor="background1" w:themeShade="80"/>
        </w:pBdr>
        <w:shd w:val="clear" w:color="auto" w:fill="D0CECE" w:themeFill="background2" w:themeFillShade="E6"/>
        <w:spacing w:after="16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92F6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A622122 Programsko financiranje javnih visokih učilišta </w:t>
      </w:r>
    </w:p>
    <w:p w14:paraId="4B1E2C68" w14:textId="77777777" w:rsidR="00E92171" w:rsidRPr="00E92F68" w:rsidRDefault="00E92171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E92F68">
        <w:rPr>
          <w:rFonts w:ascii="Times New Roman" w:hAnsi="Times New Roman" w:cs="Times New Roman"/>
          <w:sz w:val="24"/>
          <w:szCs w:val="24"/>
        </w:rPr>
        <w:t>Zakonske i druge pravne osnove</w:t>
      </w:r>
    </w:p>
    <w:p w14:paraId="5F9A7715" w14:textId="77777777" w:rsidR="00E92171" w:rsidRPr="00E92F68" w:rsidRDefault="00E92171" w:rsidP="00246E6D">
      <w:pPr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Zakon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visokom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obrazovanju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znanstvenoj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djelatnosti</w:t>
      </w:r>
      <w:proofErr w:type="spellEnd"/>
    </w:p>
    <w:p w14:paraId="43D750A6" w14:textId="77777777" w:rsidR="00E92171" w:rsidRPr="00E92F68" w:rsidRDefault="00E92171" w:rsidP="00246E6D">
      <w:pPr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Zakon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osiguravanju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kvalitete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visokom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obrazovanju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znanosti</w:t>
      </w:r>
      <w:proofErr w:type="spellEnd"/>
    </w:p>
    <w:p w14:paraId="363DB8FC" w14:textId="77777777" w:rsidR="00E92171" w:rsidRPr="00E92F68" w:rsidRDefault="00E92171" w:rsidP="00246E6D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Nacionalni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plan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razvoja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sustava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obrazovanja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za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razdoblje</w:t>
      </w:r>
      <w:proofErr w:type="spell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od</w:t>
      </w:r>
      <w:proofErr w:type="gram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2021. </w:t>
      </w:r>
      <w:proofErr w:type="gram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do</w:t>
      </w:r>
      <w:proofErr w:type="gramEnd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2027. </w:t>
      </w:r>
      <w:proofErr w:type="spellStart"/>
      <w:r w:rsidRPr="00E92F68">
        <w:rPr>
          <w:rFonts w:ascii="Times New Roman" w:eastAsia="Calibri" w:hAnsi="Times New Roman" w:cs="Times New Roman"/>
          <w:sz w:val="24"/>
          <w:szCs w:val="24"/>
          <w:lang w:val="en-US"/>
        </w:rPr>
        <w:t>godine</w:t>
      </w:r>
      <w:proofErr w:type="spellEnd"/>
    </w:p>
    <w:p w14:paraId="78EE7CBA" w14:textId="77777777" w:rsidR="00E92171" w:rsidRPr="00E92F68" w:rsidRDefault="00E92171" w:rsidP="00246E6D">
      <w:pPr>
        <w:pStyle w:val="Standard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E92F68">
        <w:t>Strategija razvoja Građevinskog i arhitektonskog fakulteta Osijek 2023. – 2027.</w:t>
      </w:r>
    </w:p>
    <w:p w14:paraId="7033DBF6" w14:textId="77777777" w:rsidR="00E92171" w:rsidRPr="00E92F68" w:rsidRDefault="00E92171" w:rsidP="00246E6D">
      <w:pPr>
        <w:pStyle w:val="StandardWeb"/>
        <w:spacing w:before="0" w:beforeAutospacing="0" w:after="0" w:afterAutospacing="0" w:line="276" w:lineRule="auto"/>
        <w:jc w:val="both"/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9E443D" w:rsidRPr="00E92F68" w14:paraId="2ADD453C" w14:textId="77777777" w:rsidTr="009E443D">
        <w:trPr>
          <w:trHeight w:val="587"/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265A927B" w14:textId="7AC99D58" w:rsidR="009E443D" w:rsidRPr="00E92F68" w:rsidRDefault="009E443D" w:rsidP="006108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D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BB24B8D" w14:textId="61943946" w:rsidR="009E443D" w:rsidRPr="00E92F68" w:rsidRDefault="009E443D" w:rsidP="006108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D">
              <w:rPr>
                <w:rFonts w:ascii="Times New Roman" w:hAnsi="Times New Roman" w:cs="Times New Roman"/>
                <w:b/>
              </w:rPr>
              <w:t>Plan 2025.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0892FD9" w14:textId="77777777" w:rsidR="009E443D" w:rsidRPr="009E443D" w:rsidRDefault="009E443D" w:rsidP="00610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Povećanje/</w:t>
            </w:r>
          </w:p>
          <w:p w14:paraId="02095C62" w14:textId="29FD4D55" w:rsidR="009E443D" w:rsidRPr="00E92F68" w:rsidRDefault="009E443D" w:rsidP="006108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D">
              <w:rPr>
                <w:rFonts w:ascii="Times New Roman" w:hAnsi="Times New Roman" w:cs="Times New Roman"/>
                <w:b/>
              </w:rPr>
              <w:t>smanjenje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C29CE54" w14:textId="2AAC3774" w:rsidR="009E443D" w:rsidRPr="00E92F68" w:rsidRDefault="009E443D" w:rsidP="006108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D">
              <w:rPr>
                <w:rFonts w:ascii="Times New Roman" w:hAnsi="Times New Roman" w:cs="Times New Roman"/>
                <w:b/>
              </w:rPr>
              <w:t>Novi plan 2025.</w:t>
            </w:r>
          </w:p>
        </w:tc>
      </w:tr>
      <w:tr w:rsidR="00E92171" w:rsidRPr="00E92F68" w14:paraId="1B445572" w14:textId="77777777" w:rsidTr="00BA3A1E">
        <w:trPr>
          <w:trHeight w:val="1377"/>
          <w:jc w:val="center"/>
        </w:trPr>
        <w:tc>
          <w:tcPr>
            <w:tcW w:w="3402" w:type="dxa"/>
            <w:vAlign w:val="center"/>
          </w:tcPr>
          <w:p w14:paraId="596FFCC5" w14:textId="2D8263E1" w:rsidR="00E92171" w:rsidRPr="00E92F68" w:rsidRDefault="00E92171" w:rsidP="00BA3A1E">
            <w:pPr>
              <w:rPr>
                <w:rFonts w:ascii="Times New Roman" w:hAnsi="Times New Roman" w:cs="Times New Roman"/>
              </w:rPr>
            </w:pPr>
            <w:r w:rsidRPr="00E92F68">
              <w:rPr>
                <w:rFonts w:ascii="Times New Roman" w:hAnsi="Times New Roman" w:cs="Times New Roman"/>
              </w:rPr>
              <w:t>A622122</w:t>
            </w:r>
            <w:r w:rsidR="00E92F68" w:rsidRPr="00E92F68">
              <w:rPr>
                <w:rFonts w:ascii="Times New Roman" w:hAnsi="Times New Roman" w:cs="Times New Roman"/>
              </w:rPr>
              <w:t xml:space="preserve"> </w:t>
            </w:r>
            <w:r w:rsidRPr="00E92F68">
              <w:rPr>
                <w:rFonts w:ascii="Times New Roman" w:hAnsi="Times New Roman" w:cs="Times New Roman"/>
              </w:rPr>
              <w:t>Programsko financiranje javnih visokih učilišta</w:t>
            </w:r>
          </w:p>
        </w:tc>
        <w:tc>
          <w:tcPr>
            <w:tcW w:w="1701" w:type="dxa"/>
            <w:vAlign w:val="center"/>
          </w:tcPr>
          <w:p w14:paraId="3840EBB5" w14:textId="77777777" w:rsidR="00E92171" w:rsidRPr="00E92F68" w:rsidRDefault="00E92171" w:rsidP="00610851">
            <w:pPr>
              <w:jc w:val="right"/>
              <w:rPr>
                <w:rFonts w:ascii="Times New Roman" w:hAnsi="Times New Roman" w:cs="Times New Roman"/>
              </w:rPr>
            </w:pPr>
            <w:r w:rsidRPr="00E92F68">
              <w:rPr>
                <w:rFonts w:ascii="Times New Roman" w:hAnsi="Times New Roman" w:cs="Times New Roman"/>
              </w:rPr>
              <w:t>329.984,00</w:t>
            </w:r>
          </w:p>
        </w:tc>
        <w:tc>
          <w:tcPr>
            <w:tcW w:w="1701" w:type="dxa"/>
            <w:vAlign w:val="center"/>
          </w:tcPr>
          <w:p w14:paraId="2D9F45F0" w14:textId="7367965E" w:rsidR="00E92171" w:rsidRPr="00E92F68" w:rsidRDefault="001D238F" w:rsidP="006108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168.546</w:t>
            </w:r>
            <w:r w:rsidR="00E92F68" w:rsidRPr="00E92F6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vAlign w:val="center"/>
          </w:tcPr>
          <w:p w14:paraId="524AD118" w14:textId="5827C64B" w:rsidR="00E92171" w:rsidRPr="00E92F68" w:rsidRDefault="001D238F" w:rsidP="006108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498.530</w:t>
            </w:r>
            <w:r w:rsidR="00E92F68" w:rsidRPr="00E92F68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278EB415" w14:textId="77777777" w:rsidR="00E92171" w:rsidRPr="00E92F68" w:rsidRDefault="00E92171" w:rsidP="00246E6D">
      <w:pPr>
        <w:pStyle w:val="StandardWeb"/>
        <w:spacing w:before="0" w:beforeAutospacing="0" w:after="0" w:afterAutospacing="0" w:line="276" w:lineRule="auto"/>
        <w:ind w:left="720"/>
        <w:jc w:val="both"/>
      </w:pPr>
    </w:p>
    <w:p w14:paraId="289F4FEA" w14:textId="77777777" w:rsidR="00E92171" w:rsidRPr="00E92F68" w:rsidRDefault="00E92171" w:rsidP="009E4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F68">
        <w:rPr>
          <w:rFonts w:ascii="Times New Roman" w:hAnsi="Times New Roman" w:cs="Times New Roman"/>
          <w:sz w:val="24"/>
          <w:szCs w:val="24"/>
        </w:rPr>
        <w:t>Ciljevi programskih ugovora su:</w:t>
      </w:r>
    </w:p>
    <w:p w14:paraId="082748A2" w14:textId="77777777" w:rsidR="00E92171" w:rsidRPr="00E92F68" w:rsidRDefault="00E92171" w:rsidP="009E443D">
      <w:pPr>
        <w:numPr>
          <w:ilvl w:val="0"/>
          <w:numId w:val="25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2F68">
        <w:rPr>
          <w:rFonts w:ascii="Times New Roman" w:hAnsi="Times New Roman" w:cs="Times New Roman"/>
          <w:sz w:val="24"/>
          <w:szCs w:val="24"/>
        </w:rPr>
        <w:t xml:space="preserve">Relevantnost u odnosu na sadašnje i buduće potrebe tržišta rada te razvoja gospodarstva i društva, učinkovitost i internacionalizacija visokog obrazovanja </w:t>
      </w:r>
    </w:p>
    <w:p w14:paraId="661A2806" w14:textId="77777777" w:rsidR="00E92171" w:rsidRPr="00E92F68" w:rsidRDefault="00E92171" w:rsidP="009E443D">
      <w:pPr>
        <w:numPr>
          <w:ilvl w:val="0"/>
          <w:numId w:val="25"/>
        </w:numPr>
        <w:tabs>
          <w:tab w:val="left" w:pos="426"/>
        </w:tabs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F68">
        <w:rPr>
          <w:rFonts w:ascii="Times New Roman" w:hAnsi="Times New Roman" w:cs="Times New Roman"/>
          <w:sz w:val="24"/>
          <w:szCs w:val="24"/>
        </w:rPr>
        <w:t>Izvrsnost znanstvenog i umjetničkog rada</w:t>
      </w:r>
    </w:p>
    <w:p w14:paraId="147E4F5B" w14:textId="77BE8435" w:rsidR="00E92171" w:rsidRDefault="00E92171" w:rsidP="009E443D">
      <w:pPr>
        <w:numPr>
          <w:ilvl w:val="0"/>
          <w:numId w:val="25"/>
        </w:numPr>
        <w:tabs>
          <w:tab w:val="left" w:pos="426"/>
        </w:tabs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2F68">
        <w:rPr>
          <w:rFonts w:ascii="Times New Roman" w:hAnsi="Times New Roman" w:cs="Times New Roman"/>
          <w:sz w:val="24"/>
          <w:szCs w:val="24"/>
        </w:rPr>
        <w:t xml:space="preserve">Znanost, umjetnost i visoko obrazovanje kao pokretači promjena u društvu i gospodarstvu. </w:t>
      </w:r>
    </w:p>
    <w:p w14:paraId="62E2D57F" w14:textId="77777777" w:rsidR="009E443D" w:rsidRPr="00E92F68" w:rsidRDefault="009E443D" w:rsidP="009E443D">
      <w:p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CB710CD" w14:textId="77777777" w:rsidR="00E92171" w:rsidRPr="00EE156E" w:rsidRDefault="00E92171" w:rsidP="00246E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6E">
        <w:rPr>
          <w:rFonts w:ascii="Times New Roman" w:hAnsi="Times New Roman" w:cs="Times New Roman"/>
          <w:b/>
          <w:sz w:val="24"/>
          <w:szCs w:val="24"/>
        </w:rPr>
        <w:t>Izračun financijskog plana:</w:t>
      </w:r>
    </w:p>
    <w:p w14:paraId="260C71E6" w14:textId="6E29F1BB" w:rsidR="00E92171" w:rsidRDefault="00E92171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EE156E">
        <w:rPr>
          <w:rFonts w:ascii="Times New Roman" w:hAnsi="Times New Roman" w:cs="Times New Roman"/>
          <w:sz w:val="24"/>
          <w:szCs w:val="24"/>
        </w:rPr>
        <w:t>Sredstva programskog financiranja sve sastavnice dobiju od Sveučilišta.</w:t>
      </w:r>
    </w:p>
    <w:p w14:paraId="5A2B7B02" w14:textId="0E7A5140" w:rsidR="00345E9F" w:rsidRDefault="00345E9F" w:rsidP="00246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106D1" w14:textId="77777777" w:rsidR="00345E9F" w:rsidRPr="00345E9F" w:rsidRDefault="00345E9F" w:rsidP="00345E9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45E9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A621183 Stipendije i školarine za doktorski studij </w:t>
      </w:r>
    </w:p>
    <w:p w14:paraId="2B9F3AD2" w14:textId="77777777" w:rsidR="00345E9F" w:rsidRPr="00736870" w:rsidRDefault="00345E9F" w:rsidP="00345E9F">
      <w:pPr>
        <w:pStyle w:val="StandardWeb"/>
        <w:spacing w:before="0" w:beforeAutospacing="0" w:after="0" w:afterAutospacing="0" w:line="276" w:lineRule="auto"/>
        <w:jc w:val="both"/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2409"/>
        <w:gridCol w:w="1701"/>
      </w:tblGrid>
      <w:tr w:rsidR="00345E9F" w:rsidRPr="00736870" w14:paraId="400C0F19" w14:textId="77777777" w:rsidTr="00345E9F">
        <w:trPr>
          <w:trHeight w:val="519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16A05B4A" w14:textId="1D76C8DA" w:rsidR="00345E9F" w:rsidRPr="006F2DE4" w:rsidRDefault="00345E9F" w:rsidP="0034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DE4"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0DAE6EC" w14:textId="433E94A0" w:rsidR="00345E9F" w:rsidRPr="006F2DE4" w:rsidRDefault="00345E9F" w:rsidP="0034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DE4">
              <w:rPr>
                <w:rFonts w:ascii="Times New Roman" w:hAnsi="Times New Roman" w:cs="Times New Roman"/>
                <w:b/>
                <w:sz w:val="20"/>
                <w:szCs w:val="20"/>
              </w:rPr>
              <w:t>Plan 2025.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585C46A5" w14:textId="77777777" w:rsidR="00345E9F" w:rsidRPr="006F2DE4" w:rsidRDefault="00345E9F" w:rsidP="00345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DE4">
              <w:rPr>
                <w:rFonts w:ascii="Times New Roman" w:hAnsi="Times New Roman" w:cs="Times New Roman"/>
                <w:b/>
                <w:sz w:val="20"/>
                <w:szCs w:val="20"/>
              </w:rPr>
              <w:t>Povećanje/</w:t>
            </w:r>
          </w:p>
          <w:p w14:paraId="08D9B8B0" w14:textId="670F139C" w:rsidR="00345E9F" w:rsidRPr="006F2DE4" w:rsidRDefault="00345E9F" w:rsidP="0034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DE4">
              <w:rPr>
                <w:rFonts w:ascii="Times New Roman" w:hAnsi="Times New Roman" w:cs="Times New Roman"/>
                <w:b/>
                <w:sz w:val="20"/>
                <w:szCs w:val="20"/>
              </w:rPr>
              <w:t>smanjenje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38F0052" w14:textId="169C0CE3" w:rsidR="00345E9F" w:rsidRPr="006F2DE4" w:rsidRDefault="00345E9F" w:rsidP="0034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DE4">
              <w:rPr>
                <w:rFonts w:ascii="Times New Roman" w:hAnsi="Times New Roman" w:cs="Times New Roman"/>
                <w:b/>
                <w:sz w:val="20"/>
                <w:szCs w:val="20"/>
              </w:rPr>
              <w:t>Novi plan 2025.</w:t>
            </w:r>
          </w:p>
        </w:tc>
      </w:tr>
      <w:tr w:rsidR="00345E9F" w:rsidRPr="00736870" w14:paraId="683E4F65" w14:textId="77777777" w:rsidTr="006F2DE4">
        <w:trPr>
          <w:trHeight w:val="2002"/>
          <w:jc w:val="center"/>
        </w:trPr>
        <w:tc>
          <w:tcPr>
            <w:tcW w:w="2547" w:type="dxa"/>
          </w:tcPr>
          <w:p w14:paraId="29AC0C99" w14:textId="77777777" w:rsidR="00345E9F" w:rsidRPr="006F2DE4" w:rsidRDefault="00345E9F" w:rsidP="001B6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C0D3E" w14:textId="77777777" w:rsidR="00345E9F" w:rsidRPr="006F2DE4" w:rsidRDefault="00345E9F" w:rsidP="001B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E4">
              <w:rPr>
                <w:rFonts w:ascii="Times New Roman" w:hAnsi="Times New Roman" w:cs="Times New Roman"/>
                <w:sz w:val="20"/>
                <w:szCs w:val="20"/>
              </w:rPr>
              <w:t>A621183</w:t>
            </w:r>
          </w:p>
          <w:p w14:paraId="7444DE2F" w14:textId="77777777" w:rsidR="00345E9F" w:rsidRPr="006F2DE4" w:rsidRDefault="00345E9F" w:rsidP="001B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E4">
              <w:rPr>
                <w:rFonts w:ascii="Times New Roman" w:hAnsi="Times New Roman" w:cs="Times New Roman"/>
                <w:sz w:val="20"/>
                <w:szCs w:val="20"/>
              </w:rPr>
              <w:t>Stipendije i školarine za</w:t>
            </w:r>
          </w:p>
          <w:p w14:paraId="110CA90A" w14:textId="77777777" w:rsidR="00345E9F" w:rsidRPr="006F2DE4" w:rsidRDefault="00345E9F" w:rsidP="001B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DE4">
              <w:rPr>
                <w:rFonts w:ascii="Times New Roman" w:hAnsi="Times New Roman" w:cs="Times New Roman"/>
                <w:sz w:val="20"/>
                <w:szCs w:val="20"/>
              </w:rPr>
              <w:t>Doktorski studij</w:t>
            </w:r>
          </w:p>
          <w:p w14:paraId="2DBD90C4" w14:textId="77777777" w:rsidR="00345E9F" w:rsidRPr="006F2DE4" w:rsidRDefault="00345E9F" w:rsidP="001B6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678884" w14:textId="47FA5111" w:rsidR="00345E9F" w:rsidRPr="006F2DE4" w:rsidRDefault="00345E9F" w:rsidP="001B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DE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09" w:type="dxa"/>
            <w:vAlign w:val="center"/>
          </w:tcPr>
          <w:p w14:paraId="0AED1D94" w14:textId="0A43BC96" w:rsidR="00345E9F" w:rsidRPr="006F2DE4" w:rsidRDefault="00345E9F" w:rsidP="001B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DE4">
              <w:rPr>
                <w:rFonts w:ascii="Times New Roman" w:hAnsi="Times New Roman" w:cs="Times New Roman"/>
                <w:sz w:val="20"/>
                <w:szCs w:val="20"/>
              </w:rPr>
              <w:t>446,00</w:t>
            </w:r>
          </w:p>
        </w:tc>
        <w:tc>
          <w:tcPr>
            <w:tcW w:w="1701" w:type="dxa"/>
            <w:vAlign w:val="center"/>
          </w:tcPr>
          <w:p w14:paraId="45946047" w14:textId="43FDD73C" w:rsidR="00345E9F" w:rsidRPr="006F2DE4" w:rsidRDefault="00345E9F" w:rsidP="001B6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DE4">
              <w:rPr>
                <w:rFonts w:ascii="Times New Roman" w:hAnsi="Times New Roman" w:cs="Times New Roman"/>
                <w:sz w:val="20"/>
                <w:szCs w:val="20"/>
              </w:rPr>
              <w:t>446,00</w:t>
            </w:r>
          </w:p>
        </w:tc>
      </w:tr>
    </w:tbl>
    <w:p w14:paraId="3978BA19" w14:textId="77777777" w:rsidR="00345E9F" w:rsidRPr="00736870" w:rsidRDefault="00345E9F" w:rsidP="00345E9F">
      <w:pPr>
        <w:spacing w:line="360" w:lineRule="auto"/>
        <w:jc w:val="both"/>
        <w:rPr>
          <w:b/>
        </w:rPr>
      </w:pPr>
    </w:p>
    <w:p w14:paraId="678813D7" w14:textId="77777777" w:rsidR="00345E9F" w:rsidRDefault="00345E9F" w:rsidP="00345E9F">
      <w:pPr>
        <w:spacing w:line="360" w:lineRule="auto"/>
        <w:jc w:val="both"/>
        <w:rPr>
          <w:color w:val="FF0000"/>
        </w:rPr>
      </w:pPr>
      <w:r w:rsidRPr="00736870">
        <w:t>Navedena aktivnost rezultat je ostvarivanja prava zaposlenika temeljem kolektivnoga ugovora za troškove povezane s izradom, tiskom i opremom doktorskog rada.</w:t>
      </w:r>
    </w:p>
    <w:p w14:paraId="058BACA4" w14:textId="77777777" w:rsidR="00345E9F" w:rsidRPr="00EE156E" w:rsidRDefault="00345E9F" w:rsidP="00246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A4DD6" w14:textId="77777777" w:rsidR="00E92171" w:rsidRPr="00E92F68" w:rsidRDefault="00E92171" w:rsidP="00246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DC722" w14:textId="77777777" w:rsidR="00E92171" w:rsidRPr="00F0046C" w:rsidRDefault="00E92171" w:rsidP="00246E6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046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A679090 Redovna djelatnost Sveučilišta u Osijeku (iz evidencijskih prihoda)</w:t>
      </w:r>
    </w:p>
    <w:p w14:paraId="42DD07FE" w14:textId="77777777" w:rsidR="00E92171" w:rsidRPr="00F0046C" w:rsidRDefault="00E92171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F0046C">
        <w:rPr>
          <w:rFonts w:ascii="Times New Roman" w:hAnsi="Times New Roman" w:cs="Times New Roman"/>
          <w:sz w:val="24"/>
          <w:szCs w:val="24"/>
        </w:rPr>
        <w:t>Zakonske i druge pravne osnove</w:t>
      </w:r>
    </w:p>
    <w:p w14:paraId="34886E4C" w14:textId="77777777" w:rsidR="00E92171" w:rsidRPr="00F0046C" w:rsidRDefault="00E92171" w:rsidP="009E443D">
      <w:pPr>
        <w:pStyle w:val="Standard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F0046C">
        <w:t xml:space="preserve">Zakon o znanstvenoj djelatnosti i visokom obrazovanju </w:t>
      </w:r>
    </w:p>
    <w:p w14:paraId="70FC255C" w14:textId="77777777" w:rsidR="00E92171" w:rsidRPr="00F0046C" w:rsidRDefault="00E92171" w:rsidP="009E443D">
      <w:pPr>
        <w:pStyle w:val="Standard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F0046C">
        <w:t xml:space="preserve">Kolektivni ugovor za znanost i visoko obrazovanje </w:t>
      </w:r>
    </w:p>
    <w:p w14:paraId="14322CC4" w14:textId="77777777" w:rsidR="00E92171" w:rsidRPr="00F0046C" w:rsidRDefault="00E92171" w:rsidP="009E443D">
      <w:pPr>
        <w:pStyle w:val="Standard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F0046C">
        <w:t>Strategija znanosti, obrazovanja i tehnologije</w:t>
      </w:r>
    </w:p>
    <w:p w14:paraId="63EC15DF" w14:textId="77777777" w:rsidR="00E92171" w:rsidRPr="00F0046C" w:rsidRDefault="00E92171" w:rsidP="00246E6D">
      <w:pPr>
        <w:pStyle w:val="Standard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F0046C">
        <w:t>Strategija razvoja Građevinskog i arhitektonskog fakulteta Osijek 2023. – 2027.</w:t>
      </w:r>
    </w:p>
    <w:p w14:paraId="453C3EFF" w14:textId="77777777" w:rsidR="00E92171" w:rsidRPr="00F0046C" w:rsidRDefault="00E92171" w:rsidP="00246E6D">
      <w:pPr>
        <w:pStyle w:val="StandardWeb"/>
        <w:spacing w:before="0" w:beforeAutospacing="0" w:after="0" w:afterAutospacing="0" w:line="276" w:lineRule="auto"/>
        <w:jc w:val="both"/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9E443D" w:rsidRPr="00F0046C" w14:paraId="4656C3D1" w14:textId="77777777" w:rsidTr="00610851">
        <w:trPr>
          <w:trHeight w:val="826"/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3349888A" w14:textId="55F80177" w:rsidR="009E443D" w:rsidRPr="00F0046C" w:rsidRDefault="009E443D" w:rsidP="006108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D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707F00C" w14:textId="5E7BF3FB" w:rsidR="009E443D" w:rsidRPr="00F0046C" w:rsidRDefault="009E443D" w:rsidP="006108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D">
              <w:rPr>
                <w:rFonts w:ascii="Times New Roman" w:hAnsi="Times New Roman" w:cs="Times New Roman"/>
                <w:b/>
              </w:rPr>
              <w:t>Plan 2025.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A35AD4B" w14:textId="77777777" w:rsidR="009E443D" w:rsidRPr="009E443D" w:rsidRDefault="009E443D" w:rsidP="00610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Povećanje/</w:t>
            </w:r>
          </w:p>
          <w:p w14:paraId="7690D4FF" w14:textId="78461F96" w:rsidR="009E443D" w:rsidRPr="00F0046C" w:rsidRDefault="009E443D" w:rsidP="006108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D">
              <w:rPr>
                <w:rFonts w:ascii="Times New Roman" w:hAnsi="Times New Roman" w:cs="Times New Roman"/>
                <w:b/>
              </w:rPr>
              <w:t>smanjenje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D483645" w14:textId="0FCD6AC7" w:rsidR="009E443D" w:rsidRPr="00F0046C" w:rsidRDefault="009E443D" w:rsidP="006108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D">
              <w:rPr>
                <w:rFonts w:ascii="Times New Roman" w:hAnsi="Times New Roman" w:cs="Times New Roman"/>
                <w:b/>
              </w:rPr>
              <w:t>Novi plan 2025.</w:t>
            </w:r>
          </w:p>
        </w:tc>
      </w:tr>
      <w:tr w:rsidR="00E92171" w:rsidRPr="00F0046C" w14:paraId="1FD8C5D2" w14:textId="77777777" w:rsidTr="00610851">
        <w:trPr>
          <w:trHeight w:val="1547"/>
          <w:jc w:val="center"/>
        </w:trPr>
        <w:tc>
          <w:tcPr>
            <w:tcW w:w="3402" w:type="dxa"/>
            <w:vAlign w:val="center"/>
          </w:tcPr>
          <w:p w14:paraId="089E2820" w14:textId="1FA59A2A" w:rsidR="00E92171" w:rsidRPr="00F0046C" w:rsidRDefault="00E92171" w:rsidP="00610851">
            <w:pPr>
              <w:spacing w:after="0"/>
              <w:rPr>
                <w:rFonts w:ascii="Times New Roman" w:hAnsi="Times New Roman" w:cs="Times New Roman"/>
              </w:rPr>
            </w:pPr>
            <w:r w:rsidRPr="00F0046C">
              <w:rPr>
                <w:rFonts w:ascii="Times New Roman" w:hAnsi="Times New Roman" w:cs="Times New Roman"/>
              </w:rPr>
              <w:t>A679090</w:t>
            </w:r>
            <w:r w:rsidR="00E92F68" w:rsidRPr="00F0046C">
              <w:rPr>
                <w:rFonts w:ascii="Times New Roman" w:hAnsi="Times New Roman" w:cs="Times New Roman"/>
              </w:rPr>
              <w:t xml:space="preserve"> </w:t>
            </w:r>
            <w:r w:rsidRPr="00F0046C">
              <w:rPr>
                <w:rFonts w:ascii="Times New Roman" w:hAnsi="Times New Roman" w:cs="Times New Roman"/>
              </w:rPr>
              <w:t>Redovna djelatnost Sveučilišta u Osijeku</w:t>
            </w:r>
            <w:r w:rsidR="00E92F68" w:rsidRPr="00F0046C">
              <w:rPr>
                <w:rFonts w:ascii="Times New Roman" w:hAnsi="Times New Roman" w:cs="Times New Roman"/>
              </w:rPr>
              <w:t xml:space="preserve"> </w:t>
            </w:r>
            <w:r w:rsidRPr="00F0046C">
              <w:rPr>
                <w:rFonts w:ascii="Times New Roman" w:hAnsi="Times New Roman" w:cs="Times New Roman"/>
              </w:rPr>
              <w:t>(iz evidencijskih prihoda)</w:t>
            </w:r>
          </w:p>
        </w:tc>
        <w:tc>
          <w:tcPr>
            <w:tcW w:w="1701" w:type="dxa"/>
            <w:vAlign w:val="center"/>
          </w:tcPr>
          <w:p w14:paraId="36760F7E" w14:textId="2605ED33" w:rsidR="00E92171" w:rsidRPr="00F0046C" w:rsidRDefault="00682E75" w:rsidP="006108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0046C">
              <w:rPr>
                <w:rFonts w:ascii="Times New Roman" w:hAnsi="Times New Roman" w:cs="Times New Roman"/>
              </w:rPr>
              <w:t>773.790,00</w:t>
            </w:r>
          </w:p>
        </w:tc>
        <w:tc>
          <w:tcPr>
            <w:tcW w:w="1701" w:type="dxa"/>
            <w:vAlign w:val="center"/>
          </w:tcPr>
          <w:p w14:paraId="6A3D33A1" w14:textId="0344CF5A" w:rsidR="00E92171" w:rsidRPr="00F0046C" w:rsidRDefault="00682E75" w:rsidP="006108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0046C">
              <w:rPr>
                <w:rFonts w:ascii="Times New Roman" w:hAnsi="Times New Roman" w:cs="Times New Roman"/>
              </w:rPr>
              <w:t>-37.237</w:t>
            </w:r>
            <w:r w:rsidR="00E92171" w:rsidRPr="00F0046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vAlign w:val="center"/>
          </w:tcPr>
          <w:p w14:paraId="48F2A60B" w14:textId="5CB1384A" w:rsidR="00E92171" w:rsidRPr="00F0046C" w:rsidRDefault="00682E75" w:rsidP="006108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0046C">
              <w:rPr>
                <w:rFonts w:ascii="Times New Roman" w:hAnsi="Times New Roman" w:cs="Times New Roman"/>
              </w:rPr>
              <w:t>736.553</w:t>
            </w:r>
            <w:r w:rsidR="00E92171" w:rsidRPr="00F0046C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1040E599" w14:textId="77777777" w:rsidR="00E92171" w:rsidRPr="00F0046C" w:rsidRDefault="00E92171" w:rsidP="00246E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46C">
        <w:rPr>
          <w:rFonts w:ascii="Times New Roman" w:hAnsi="Times New Roman" w:cs="Times New Roman"/>
          <w:b/>
          <w:sz w:val="24"/>
          <w:szCs w:val="24"/>
        </w:rPr>
        <w:t>Izračun financijskog plana:</w:t>
      </w:r>
    </w:p>
    <w:p w14:paraId="75BEB19D" w14:textId="29DBBB17" w:rsidR="00E92171" w:rsidRPr="00F0046C" w:rsidRDefault="00E92171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F0046C">
        <w:rPr>
          <w:rFonts w:ascii="Times New Roman" w:hAnsi="Times New Roman" w:cs="Times New Roman"/>
          <w:sz w:val="24"/>
          <w:szCs w:val="24"/>
        </w:rPr>
        <w:t>Za izračun plana rashoda ove aktivnosti u obzir su uzeti prihodi koje Fakultet ostvaruje od redovnih i izvanrednih studijskih programa za prijediplomske, diplomske i poslijediplomske studije, programe cjeloživotnog obrazovanja, obavljanja stručne djelatnosti na tržištu, od zakupa, prodaje knjiga i ostalog</w:t>
      </w:r>
      <w:r w:rsidR="00610851">
        <w:rPr>
          <w:rFonts w:ascii="Times New Roman" w:hAnsi="Times New Roman" w:cs="Times New Roman"/>
          <w:sz w:val="24"/>
          <w:szCs w:val="24"/>
        </w:rPr>
        <w:t>a</w:t>
      </w:r>
      <w:r w:rsidRPr="00F0046C">
        <w:rPr>
          <w:rFonts w:ascii="Times New Roman" w:hAnsi="Times New Roman" w:cs="Times New Roman"/>
          <w:sz w:val="24"/>
          <w:szCs w:val="24"/>
        </w:rPr>
        <w:t>. Također, na ovoj aktivnosti planirani su rashodi</w:t>
      </w:r>
      <w:r w:rsidR="00F0046C" w:rsidRPr="00F0046C">
        <w:rPr>
          <w:rFonts w:ascii="Times New Roman" w:hAnsi="Times New Roman" w:cs="Times New Roman"/>
          <w:sz w:val="24"/>
          <w:szCs w:val="24"/>
        </w:rPr>
        <w:t xml:space="preserve"> za projekte koje Fakultet provodi</w:t>
      </w:r>
      <w:r w:rsidR="003349B7">
        <w:rPr>
          <w:rFonts w:ascii="Times New Roman" w:hAnsi="Times New Roman" w:cs="Times New Roman"/>
          <w:sz w:val="24"/>
          <w:szCs w:val="24"/>
        </w:rPr>
        <w:t xml:space="preserve"> iz</w:t>
      </w:r>
      <w:r w:rsidR="00F0046C" w:rsidRPr="00F0046C">
        <w:rPr>
          <w:rFonts w:ascii="Times New Roman" w:hAnsi="Times New Roman" w:cs="Times New Roman"/>
          <w:sz w:val="24"/>
          <w:szCs w:val="24"/>
        </w:rPr>
        <w:t xml:space="preserve"> izvor</w:t>
      </w:r>
      <w:r w:rsidR="003349B7">
        <w:rPr>
          <w:rFonts w:ascii="Times New Roman" w:hAnsi="Times New Roman" w:cs="Times New Roman"/>
          <w:sz w:val="24"/>
          <w:szCs w:val="24"/>
        </w:rPr>
        <w:t>a</w:t>
      </w:r>
      <w:r w:rsidR="00F0046C" w:rsidRPr="00F0046C">
        <w:rPr>
          <w:rFonts w:ascii="Times New Roman" w:hAnsi="Times New Roman" w:cs="Times New Roman"/>
          <w:sz w:val="24"/>
          <w:szCs w:val="24"/>
        </w:rPr>
        <w:t xml:space="preserve"> financiranja </w:t>
      </w:r>
      <w:r w:rsidRPr="00F0046C">
        <w:rPr>
          <w:rFonts w:ascii="Times New Roman" w:hAnsi="Times New Roman" w:cs="Times New Roman"/>
          <w:sz w:val="24"/>
          <w:szCs w:val="24"/>
        </w:rPr>
        <w:t>52 - Ostale pomoći</w:t>
      </w:r>
      <w:r w:rsidR="003349B7">
        <w:rPr>
          <w:rFonts w:ascii="Times New Roman" w:hAnsi="Times New Roman" w:cs="Times New Roman"/>
          <w:sz w:val="24"/>
          <w:szCs w:val="24"/>
        </w:rPr>
        <w:t xml:space="preserve"> </w:t>
      </w:r>
      <w:r w:rsidR="00A56C4B">
        <w:rPr>
          <w:rFonts w:ascii="Times New Roman" w:hAnsi="Times New Roman" w:cs="Times New Roman"/>
          <w:sz w:val="24"/>
          <w:szCs w:val="24"/>
        </w:rPr>
        <w:t xml:space="preserve">i darovnice </w:t>
      </w:r>
      <w:r w:rsidR="00F0046C" w:rsidRPr="00F0046C">
        <w:rPr>
          <w:rFonts w:ascii="Times New Roman" w:hAnsi="Times New Roman" w:cs="Times New Roman"/>
          <w:sz w:val="24"/>
          <w:szCs w:val="24"/>
        </w:rPr>
        <w:t xml:space="preserve">za </w:t>
      </w:r>
      <w:r w:rsidRPr="00F0046C">
        <w:rPr>
          <w:rFonts w:ascii="Times New Roman" w:hAnsi="Times New Roman" w:cs="Times New Roman"/>
          <w:sz w:val="24"/>
          <w:szCs w:val="24"/>
        </w:rPr>
        <w:t xml:space="preserve">hrvatsko – slovenski </w:t>
      </w:r>
      <w:proofErr w:type="spellStart"/>
      <w:r w:rsidRPr="00F0046C">
        <w:rPr>
          <w:rFonts w:ascii="Times New Roman" w:hAnsi="Times New Roman" w:cs="Times New Roman"/>
          <w:sz w:val="24"/>
          <w:szCs w:val="24"/>
        </w:rPr>
        <w:t>bilatelarni</w:t>
      </w:r>
      <w:proofErr w:type="spellEnd"/>
      <w:r w:rsidRPr="00F0046C">
        <w:rPr>
          <w:rFonts w:ascii="Times New Roman" w:hAnsi="Times New Roman" w:cs="Times New Roman"/>
          <w:sz w:val="24"/>
          <w:szCs w:val="24"/>
        </w:rPr>
        <w:t xml:space="preserve"> projekt koji se financira iz prijenosa sredstava Ministarstva znanosti, obrazovanja i mladih: </w:t>
      </w:r>
      <w:r w:rsidRPr="00F0046C">
        <w:rPr>
          <w:rFonts w:ascii="Times New Roman" w:hAnsi="Times New Roman" w:cs="Times New Roman"/>
          <w:noProof/>
          <w:sz w:val="24"/>
          <w:szCs w:val="24"/>
        </w:rPr>
        <w:t xml:space="preserve">Digitalna transformacija građevinskih projekata potaknuta sinergijom optimizacijskih metoda i BIM koncepta u svrhu učinkovitije i sigurnije gradnje </w:t>
      </w:r>
      <w:r w:rsidR="00F0046C" w:rsidRPr="00F0046C">
        <w:rPr>
          <w:rFonts w:ascii="Times New Roman" w:hAnsi="Times New Roman" w:cs="Times New Roman"/>
          <w:noProof/>
          <w:sz w:val="24"/>
          <w:szCs w:val="24"/>
        </w:rPr>
        <w:t xml:space="preserve">i projekt </w:t>
      </w:r>
      <w:r w:rsidR="00F0046C" w:rsidRPr="00F0046C">
        <w:rPr>
          <w:rFonts w:ascii="Times New Roman" w:eastAsia="Times New Roman" w:hAnsi="Times New Roman" w:cs="Times New Roman"/>
          <w:sz w:val="24"/>
          <w:szCs w:val="24"/>
        </w:rPr>
        <w:t>Dokumentiranje čardaka za očuvanje ugroženih drvenih struktura uz Dravu i Dunav u Hrvatskoj</w:t>
      </w:r>
      <w:r w:rsidR="00F0046C" w:rsidRPr="00F0046C">
        <w:rPr>
          <w:rFonts w:ascii="Times New Roman" w:hAnsi="Times New Roman" w:cs="Times New Roman"/>
          <w:sz w:val="24"/>
          <w:szCs w:val="24"/>
        </w:rPr>
        <w:t xml:space="preserve">. Također, za isti izvor planirani su rashodi </w:t>
      </w:r>
      <w:r w:rsidRPr="00F0046C">
        <w:rPr>
          <w:rFonts w:ascii="Times New Roman" w:hAnsi="Times New Roman" w:cs="Times New Roman"/>
          <w:sz w:val="24"/>
          <w:szCs w:val="24"/>
        </w:rPr>
        <w:t>za projekte koji se financiraju sredstvima Hrvatske zaklade za znanost:</w:t>
      </w:r>
    </w:p>
    <w:p w14:paraId="05FF8A17" w14:textId="77777777" w:rsidR="00610851" w:rsidRDefault="00E92171" w:rsidP="00246E6D">
      <w:pPr>
        <w:pStyle w:val="Odlomakpopisa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10851">
        <w:rPr>
          <w:rFonts w:ascii="Times New Roman" w:hAnsi="Times New Roman" w:cs="Times New Roman"/>
          <w:sz w:val="24"/>
          <w:szCs w:val="24"/>
        </w:rPr>
        <w:t>UIP-2020-02-7363, Nabijena zemlja za modeliranje i normizaciju u potresno aktivnim područjima</w:t>
      </w:r>
    </w:p>
    <w:p w14:paraId="2DA2BBB8" w14:textId="30995931" w:rsidR="00E92171" w:rsidRPr="00610851" w:rsidRDefault="00682E75" w:rsidP="00246E6D">
      <w:pPr>
        <w:pStyle w:val="Odlomakpopisa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10851">
        <w:rPr>
          <w:rFonts w:ascii="Times New Roman" w:hAnsi="Times New Roman" w:cs="Times New Roman"/>
          <w:sz w:val="24"/>
          <w:szCs w:val="24"/>
        </w:rPr>
        <w:t xml:space="preserve">NPOO </w:t>
      </w:r>
      <w:r w:rsidR="00482FE5" w:rsidRPr="00610851">
        <w:rPr>
          <w:rFonts w:ascii="Times New Roman" w:hAnsi="Times New Roman" w:cs="Times New Roman"/>
          <w:sz w:val="24"/>
          <w:szCs w:val="24"/>
        </w:rPr>
        <w:t xml:space="preserve"> </w:t>
      </w:r>
      <w:r w:rsidR="00482FE5" w:rsidRPr="00610851">
        <w:rPr>
          <w:rFonts w:ascii="Times New Roman" w:hAnsi="Times New Roman" w:cs="Times New Roman"/>
          <w:bCs/>
          <w:sz w:val="24"/>
          <w:szCs w:val="24"/>
        </w:rPr>
        <w:t>Razvoj karijera mladih istraživača - izobrazba novih</w:t>
      </w:r>
      <w:r w:rsidR="00482FE5" w:rsidRPr="00610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FE5" w:rsidRPr="00610851">
        <w:rPr>
          <w:rFonts w:ascii="Times New Roman" w:hAnsi="Times New Roman" w:cs="Times New Roman"/>
          <w:bCs/>
          <w:sz w:val="24"/>
          <w:szCs w:val="24"/>
        </w:rPr>
        <w:t>doktora znanosti</w:t>
      </w:r>
      <w:r w:rsidR="004713BD" w:rsidRPr="0061085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206058206"/>
      <w:r w:rsidR="004713BD" w:rsidRPr="00610851">
        <w:rPr>
          <w:rFonts w:ascii="Times New Roman" w:hAnsi="Times New Roman" w:cs="Times New Roman"/>
          <w:bCs/>
          <w:sz w:val="24"/>
          <w:szCs w:val="24"/>
        </w:rPr>
        <w:t xml:space="preserve">za projekte: </w:t>
      </w:r>
      <w:r w:rsidR="004713BD" w:rsidRPr="00610851">
        <w:rPr>
          <w:rFonts w:ascii="Times New Roman" w:hAnsi="Times New Roman" w:cs="Times New Roman"/>
          <w:sz w:val="24"/>
          <w:szCs w:val="24"/>
        </w:rPr>
        <w:t xml:space="preserve">Nabijena zemlja za modeliranje i normizaciju u potresno aktivnim područjima i </w:t>
      </w:r>
      <w:r w:rsidR="004713BD" w:rsidRPr="00610851">
        <w:rPr>
          <w:rFonts w:ascii="Times New Roman" w:eastAsia="Times New Roman" w:hAnsi="Times New Roman" w:cs="Times New Roman"/>
          <w:sz w:val="24"/>
          <w:szCs w:val="24"/>
        </w:rPr>
        <w:t>Sinergija primjene inteligentnih metoda u procjeni ponašanja zgrada, elemenata i materijala i inovativna uporaba recikliranih građevinskih materijala zasnovana na eksperimentalnim i novim pristupima za uspostavu održivog životnog prostora - IM4StEM.</w:t>
      </w:r>
    </w:p>
    <w:bookmarkEnd w:id="0"/>
    <w:p w14:paraId="6D83D2AF" w14:textId="60C49915" w:rsidR="00E92171" w:rsidRPr="00F0046C" w:rsidRDefault="00E92171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F0046C">
        <w:rPr>
          <w:rFonts w:ascii="Times New Roman" w:hAnsi="Times New Roman" w:cs="Times New Roman"/>
          <w:sz w:val="24"/>
          <w:szCs w:val="24"/>
        </w:rPr>
        <w:t xml:space="preserve">Ova aktivnost provodi se svake godine i očekuje se ostvarenje ciljeva sukladno Razvojnoj i istraživačkoj strategiji Sveučilišta i Strategiji razvoja Građevinskog i arhitektonskog fakulteta Osijek. Strateška politika Građevinskog i arhitektonskog fakulteta Osijek obuhvaća sustav upravljanja kvalitetom, suradnju s okruženjem i društvenu ulogu Fakulteta, studijske programe, </w:t>
      </w:r>
      <w:r w:rsidRPr="00F0046C">
        <w:rPr>
          <w:rFonts w:ascii="Times New Roman" w:hAnsi="Times New Roman" w:cs="Times New Roman"/>
          <w:sz w:val="24"/>
          <w:szCs w:val="24"/>
        </w:rPr>
        <w:lastRenderedPageBreak/>
        <w:t>nastavni proces i sustav potpore studentima, znanstveno-istraživačku djelatnost te razvoj resursa (ljudski i institucijski kapaciteti). Ciljevi upravljanja kvalitetom, suradnje s okruženjem i društvene uloge Fakulteta su revidirati mehanizme i strategije planiranja, kontroliranja, analiziranja te izvještavanja o aktivnostima unutar sustava osiguravanja kvalitete u svim područjima djelovanja Fakulteta, unaprijediti sustav praćenja i procjene učinkovitosti implementiranih razvojnih aktivnosti, revidirati sustav upravljanja rizicima, razvijati programe cjeloživotnog učenja usklađene s društvenim i gospodarskim potrebama i unaprijediti razvoj, vidljivost i utjecaj društvene uloge Fakulteta u zajednici.</w:t>
      </w:r>
    </w:p>
    <w:p w14:paraId="11CD276A" w14:textId="29A98453" w:rsidR="00E92171" w:rsidRDefault="00E92171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F0046C">
        <w:rPr>
          <w:rFonts w:ascii="Times New Roman" w:hAnsi="Times New Roman" w:cs="Times New Roman"/>
          <w:sz w:val="24"/>
          <w:szCs w:val="24"/>
        </w:rPr>
        <w:t xml:space="preserve">Ciljevi koji se odnose na studijske programe su razviti institucionalne oblike podrške sustavnom preispitivanju, analiziranju, razvoju, modernizaciji i evaluaciji studijskih programa, unaprijediti postupke planiranja, predlaganja i prihvaćanja novih te revizije postojećih studijskih programa, uspostaviti sveobuhvatan sustav podrške u izgradnji karijera i praćenja </w:t>
      </w:r>
      <w:proofErr w:type="spellStart"/>
      <w:r w:rsidRPr="00F0046C">
        <w:rPr>
          <w:rFonts w:ascii="Times New Roman" w:hAnsi="Times New Roman" w:cs="Times New Roman"/>
          <w:sz w:val="24"/>
          <w:szCs w:val="24"/>
        </w:rPr>
        <w:t>zapošljivosti</w:t>
      </w:r>
      <w:proofErr w:type="spellEnd"/>
      <w:r w:rsidRPr="00F0046C">
        <w:rPr>
          <w:rFonts w:ascii="Times New Roman" w:hAnsi="Times New Roman" w:cs="Times New Roman"/>
          <w:sz w:val="24"/>
          <w:szCs w:val="24"/>
        </w:rPr>
        <w:t xml:space="preserve"> (diplomiranih) studenata Fakulteta, promicati društveno korisno učenje te </w:t>
      </w:r>
      <w:proofErr w:type="spellStart"/>
      <w:r w:rsidRPr="00F0046C">
        <w:rPr>
          <w:rFonts w:ascii="Times New Roman" w:hAnsi="Times New Roman" w:cs="Times New Roman"/>
          <w:sz w:val="24"/>
          <w:szCs w:val="24"/>
        </w:rPr>
        <w:t>internacionalizirati</w:t>
      </w:r>
      <w:proofErr w:type="spellEnd"/>
      <w:r w:rsidRPr="00F0046C">
        <w:rPr>
          <w:rFonts w:ascii="Times New Roman" w:hAnsi="Times New Roman" w:cs="Times New Roman"/>
          <w:sz w:val="24"/>
          <w:szCs w:val="24"/>
        </w:rPr>
        <w:t xml:space="preserve"> studijske programe povećanjem broja predmeta koji se izvode na engleskom ili nekom drugom stranom jeziku. Ciljevi koji strateški pokrivaju nastavni proces i </w:t>
      </w:r>
      <w:proofErr w:type="spellStart"/>
      <w:r w:rsidRPr="00F004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0046C">
        <w:rPr>
          <w:rFonts w:ascii="Times New Roman" w:hAnsi="Times New Roman" w:cs="Times New Roman"/>
          <w:sz w:val="24"/>
          <w:szCs w:val="24"/>
        </w:rPr>
        <w:t xml:space="preserve"> sustav potpore studentima temelje se na unaprjeđenju procesa vrednovanja i ocjenjivanja studijskih postignuća u svrhu osiguravanja objektivnosti i dosljednosti, unaprjeđenju uvjeta za studiranje dolaznih studenata, reviziji i poboljšanju mehanizama uspješnosti studenata i završavanja studija te razvijanju mehanizama praćenja i provjere uspješnosti, uspostavljanju sustava povratnog informiranja studenata te razvijanju mehanizama praćenja i provjere uspješnosti implementacije mjera poboljšanja, kao i unaprjeđenju sustava potpore studentima iz ranjivih i podzastupljenih skupina. Ciljevi razvoja resursa te ljudskih i institucijskih kapaciteta su kontinuirano ulagati napore u jačanje nastavnih, stručnih i poslovnih kompetencija djelatnika, razvijati dodatne mehanizme motiviranja i poticanja izvrsnosti djelatnika Fakulteta, ojačati fakultetske službe administrativne podrške, unaprijediti suradnju s gospodarstvom i institucijama kako bi se povećao udio uključivanja vanjskih stručnjaka u izvođenju dijela nastavnog procesa, povećati udio sredstava iz vanjskih izvora financiranja, digitalizirati poslovne procese te stvoriti preduvjete za implementaciju obnovljivih izvora energije na zgradi Fakulteta. Ciljevi znanstveno-istraživačke djelatnosti su pozicionirati se kao međunarodno kompetitivna institucija u istraživačkom prostoru s ciljem postizanja znanstvene izvrsnosti, povećati kvalitetu i vidljivost znanstveno-istraživačkog rada kao i ojačati međunarodnu prepoznatljivost poslijediplomskog sveučilišnog studija te osnažiti istraživačke potencijale i infrastrukturu.</w:t>
      </w:r>
    </w:p>
    <w:p w14:paraId="3D18DE97" w14:textId="77777777" w:rsidR="00192A17" w:rsidRPr="00F0046C" w:rsidRDefault="00192A17" w:rsidP="00246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CBF79" w14:textId="77777777" w:rsidR="00711943" w:rsidRPr="00E81B25" w:rsidRDefault="00711943" w:rsidP="00246E6D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1B25">
        <w:rPr>
          <w:rFonts w:ascii="Times New Roman" w:hAnsi="Times New Roman" w:cs="Times New Roman"/>
          <w:b/>
          <w:sz w:val="24"/>
          <w:szCs w:val="24"/>
        </w:rPr>
        <w:t>OBRAZLOŽENJA I AKTIVNOSTI ZA SUFINANCIRANE PROJEKTE IZ OPERATIVNIH PROGRAMA I EVIDENCIJSKIH PRIHODA</w:t>
      </w:r>
    </w:p>
    <w:p w14:paraId="315A3D28" w14:textId="18100338" w:rsidR="00711943" w:rsidRPr="00324C72" w:rsidRDefault="00711943" w:rsidP="003349B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 xml:space="preserve">Sveučilište Josipa Jurja Strossmayera u Osijeku, Građevinski i arhitektonski fakultet Osijek sustavno provodi  nacionalne i međunarodne projekte. U nastavku su opisani projekti koji se provode </w:t>
      </w:r>
      <w:r w:rsidR="00324C72">
        <w:rPr>
          <w:rFonts w:ascii="Times New Roman" w:hAnsi="Times New Roman" w:cs="Times New Roman"/>
          <w:sz w:val="24"/>
          <w:szCs w:val="24"/>
        </w:rPr>
        <w:t>na Fakultetu</w:t>
      </w:r>
      <w:r w:rsidRPr="00EF4D2B">
        <w:rPr>
          <w:rFonts w:ascii="Times New Roman" w:hAnsi="Times New Roman" w:cs="Times New Roman"/>
          <w:sz w:val="24"/>
          <w:szCs w:val="24"/>
        </w:rPr>
        <w:t xml:space="preserve">, a financiraju se </w:t>
      </w:r>
      <w:r w:rsidR="00D84A9D">
        <w:rPr>
          <w:rFonts w:ascii="Times New Roman" w:hAnsi="Times New Roman" w:cs="Times New Roman"/>
          <w:sz w:val="24"/>
          <w:szCs w:val="24"/>
        </w:rPr>
        <w:t>EU sredstvima.</w:t>
      </w:r>
    </w:p>
    <w:p w14:paraId="6311B005" w14:textId="77777777" w:rsidR="00B54C28" w:rsidRDefault="00B54C28" w:rsidP="00246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0D921" w14:textId="77777777" w:rsidR="004B132F" w:rsidRPr="004B132F" w:rsidRDefault="004B132F" w:rsidP="00246E6D">
      <w:pPr>
        <w:shd w:val="clear" w:color="auto" w:fill="D9D9D9" w:themeFill="background1" w:themeFillShade="D9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132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A679071 NOVI PODPROJEKT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Interactive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climate-service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system - Use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green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infrastructures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online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toolkit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for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better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adaptation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resilience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hazards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climate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change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Croatia-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Serbia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cross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border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region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>, HR-RS00094 INTERCLIM</w:t>
      </w:r>
    </w:p>
    <w:p w14:paraId="5B666FAC" w14:textId="77777777" w:rsidR="00823ED5" w:rsidRDefault="00823ED5" w:rsidP="00246E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823ED5" w:rsidRPr="002A5E6A" w14:paraId="2E9BC524" w14:textId="77777777" w:rsidTr="00CF2BC5">
        <w:trPr>
          <w:trHeight w:val="483"/>
          <w:jc w:val="center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702B6BAA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CCE5C55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Plan 2025.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3B90139" w14:textId="77777777" w:rsidR="00823ED5" w:rsidRPr="009E443D" w:rsidRDefault="00823ED5" w:rsidP="00FA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Povećanje/</w:t>
            </w:r>
          </w:p>
          <w:p w14:paraId="0B70A11B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smanjenje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AE14187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Novi plan 2025.</w:t>
            </w:r>
          </w:p>
        </w:tc>
      </w:tr>
      <w:tr w:rsidR="00823ED5" w:rsidRPr="002A5E6A" w14:paraId="4BCDEF03" w14:textId="77777777" w:rsidTr="00310DD7">
        <w:trPr>
          <w:jc w:val="center"/>
        </w:trPr>
        <w:tc>
          <w:tcPr>
            <w:tcW w:w="3402" w:type="dxa"/>
            <w:vAlign w:val="center"/>
          </w:tcPr>
          <w:p w14:paraId="4652F7EA" w14:textId="77777777" w:rsidR="00310DD7" w:rsidRDefault="00310DD7" w:rsidP="00310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E6BB8A" w14:textId="51445A8F" w:rsidR="00823ED5" w:rsidRPr="002A5E6A" w:rsidRDefault="00823ED5" w:rsidP="00BA3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6A">
              <w:rPr>
                <w:rFonts w:ascii="Times New Roman" w:hAnsi="Times New Roman" w:cs="Times New Roman"/>
              </w:rPr>
              <w:t>A679071</w:t>
            </w:r>
            <w:r>
              <w:rPr>
                <w:rFonts w:ascii="Times New Roman" w:hAnsi="Times New Roman" w:cs="Times New Roman"/>
              </w:rPr>
              <w:t xml:space="preserve"> NOVI PODPROJEKT</w:t>
            </w:r>
          </w:p>
          <w:p w14:paraId="36B55F38" w14:textId="77777777" w:rsidR="00823ED5" w:rsidRPr="002A5E6A" w:rsidRDefault="00823ED5" w:rsidP="00310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6712C920" w14:textId="026B4822" w:rsidR="00823ED5" w:rsidRPr="002A5E6A" w:rsidRDefault="00310DD7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82.908,00</w:t>
            </w:r>
          </w:p>
        </w:tc>
        <w:tc>
          <w:tcPr>
            <w:tcW w:w="1701" w:type="dxa"/>
            <w:vAlign w:val="bottom"/>
          </w:tcPr>
          <w:p w14:paraId="56BAAC09" w14:textId="68BAF5D9" w:rsidR="00823ED5" w:rsidRPr="002A5E6A" w:rsidRDefault="00310DD7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bottom"/>
          </w:tcPr>
          <w:p w14:paraId="5266C630" w14:textId="20B81683" w:rsidR="00823ED5" w:rsidRPr="002A5E6A" w:rsidRDefault="00310DD7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82.908,00</w:t>
            </w:r>
          </w:p>
        </w:tc>
      </w:tr>
    </w:tbl>
    <w:p w14:paraId="68B483A6" w14:textId="77777777" w:rsidR="00823ED5" w:rsidRDefault="00823ED5" w:rsidP="00246E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0DFB8CD" w14:textId="03D6F653" w:rsidR="003C23ED" w:rsidRDefault="003C23ED" w:rsidP="00246E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342A0">
        <w:rPr>
          <w:rFonts w:ascii="Times New Roman" w:hAnsi="Times New Roman" w:cs="Times New Roman"/>
          <w:sz w:val="24"/>
          <w:szCs w:val="24"/>
        </w:rPr>
        <w:t xml:space="preserve">Naziv projekta: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Interactive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climate-service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system - Use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infrastructures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toolkit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hazards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Croatia-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Serbia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A1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BB">
        <w:rPr>
          <w:rFonts w:ascii="Times New Roman" w:hAnsi="Times New Roman" w:cs="Times New Roman"/>
          <w:sz w:val="24"/>
          <w:szCs w:val="24"/>
        </w:rPr>
        <w:t>region</w:t>
      </w:r>
      <w:proofErr w:type="spellEnd"/>
    </w:p>
    <w:p w14:paraId="5D4B6253" w14:textId="7DF11810" w:rsidR="00B75B63" w:rsidRPr="003704F9" w:rsidRDefault="006F4C36" w:rsidP="00EF596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302F">
        <w:rPr>
          <w:rFonts w:ascii="Times New Roman" w:hAnsi="Times New Roman" w:cs="Times New Roman"/>
          <w:sz w:val="24"/>
          <w:szCs w:val="24"/>
        </w:rPr>
        <w:t xml:space="preserve">Opis projekta: </w:t>
      </w:r>
      <w:r w:rsidR="00B75B63" w:rsidRPr="003704F9">
        <w:rPr>
          <w:rFonts w:ascii="Times New Roman" w:hAnsi="Times New Roman" w:cs="Times New Roman"/>
          <w:bCs/>
          <w:sz w:val="24"/>
          <w:szCs w:val="24"/>
        </w:rPr>
        <w:t>Opći cilj ovog projekta je povećati i ojačati kapacitete prilagodbe i otpornosti građana i gospodarstva na procese klimatskih promjena i vremenske nepogode te pokazati kako učinkovito provoditi rješenja na terenu:</w:t>
      </w:r>
    </w:p>
    <w:p w14:paraId="3007FE4B" w14:textId="118EFA5C" w:rsidR="00B75B63" w:rsidRPr="00FA302F" w:rsidRDefault="00B75B63" w:rsidP="00FA302F">
      <w:pPr>
        <w:pStyle w:val="Odlomakpopisa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302F">
        <w:rPr>
          <w:rFonts w:ascii="Times New Roman" w:hAnsi="Times New Roman" w:cs="Times New Roman"/>
          <w:bCs/>
          <w:sz w:val="24"/>
          <w:szCs w:val="24"/>
        </w:rPr>
        <w:t>provedbom sustava zelene infrastrukture („zelene sobe” s uređajima za praćenje okoliša) koji predstavljaju koncept „vanjskog životnog prostora” i novu rješenja temeljena na prirodi u regiji i Europi;</w:t>
      </w:r>
    </w:p>
    <w:p w14:paraId="3DB34B8D" w14:textId="660D523D" w:rsidR="00B75B63" w:rsidRPr="00FA302F" w:rsidRDefault="00B75B63" w:rsidP="00FA302F">
      <w:pPr>
        <w:pStyle w:val="Odlomakpopisa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302F">
        <w:rPr>
          <w:rFonts w:ascii="Times New Roman" w:hAnsi="Times New Roman" w:cs="Times New Roman"/>
          <w:bCs/>
          <w:sz w:val="24"/>
          <w:szCs w:val="24"/>
        </w:rPr>
        <w:t>razvojem interaktivne internetske platforme o klimi i okolišu te mobilnih aplikacija koje će pružati alat za „prilagodbu klimatskim promjenama i otpornost na vremenske nepogode”, slobodno dostupan građanima i gospodarstvu u regiji.</w:t>
      </w:r>
    </w:p>
    <w:p w14:paraId="12AE68B4" w14:textId="77777777" w:rsidR="007501EE" w:rsidRDefault="007501EE" w:rsidP="00EF5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61949" w14:textId="14031337" w:rsidR="004B132F" w:rsidRPr="004B132F" w:rsidRDefault="007501EE" w:rsidP="00EF5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A4">
        <w:rPr>
          <w:rFonts w:ascii="Times New Roman" w:hAnsi="Times New Roman" w:cs="Times New Roman"/>
          <w:sz w:val="24"/>
          <w:szCs w:val="24"/>
        </w:rPr>
        <w:t>Nositelj projekta</w:t>
      </w:r>
      <w:r>
        <w:rPr>
          <w:rFonts w:ascii="Times New Roman" w:hAnsi="Times New Roman" w:cs="Times New Roman"/>
          <w:sz w:val="24"/>
          <w:szCs w:val="24"/>
        </w:rPr>
        <w:t>/uplatitelj sredstava</w:t>
      </w:r>
      <w:r w:rsidRPr="008A39A4">
        <w:rPr>
          <w:rFonts w:ascii="Times New Roman" w:hAnsi="Times New Roman" w:cs="Times New Roman"/>
          <w:sz w:val="24"/>
          <w:szCs w:val="24"/>
        </w:rPr>
        <w:t xml:space="preserve">: </w:t>
      </w:r>
      <w:r w:rsidR="004B132F" w:rsidRPr="004B132F">
        <w:rPr>
          <w:rFonts w:ascii="Times New Roman" w:hAnsi="Times New Roman" w:cs="Times New Roman"/>
          <w:sz w:val="24"/>
          <w:szCs w:val="24"/>
        </w:rPr>
        <w:t xml:space="preserve">University </w:t>
      </w:r>
      <w:proofErr w:type="spellStart"/>
      <w:r w:rsidR="004B132F" w:rsidRPr="004B13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B132F" w:rsidRPr="004B132F">
        <w:rPr>
          <w:rFonts w:ascii="Times New Roman" w:hAnsi="Times New Roman" w:cs="Times New Roman"/>
          <w:sz w:val="24"/>
          <w:szCs w:val="24"/>
        </w:rPr>
        <w:t xml:space="preserve"> Novi Sad </w:t>
      </w:r>
      <w:proofErr w:type="spellStart"/>
      <w:r w:rsidR="004B132F" w:rsidRPr="004B132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4B132F" w:rsidRPr="004B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32F" w:rsidRPr="004B13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B132F" w:rsidRPr="004B1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32F" w:rsidRPr="004B132F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192A17">
        <w:rPr>
          <w:rFonts w:ascii="Times New Roman" w:hAnsi="Times New Roman" w:cs="Times New Roman"/>
          <w:sz w:val="24"/>
          <w:szCs w:val="24"/>
        </w:rPr>
        <w:t>.</w:t>
      </w:r>
    </w:p>
    <w:p w14:paraId="10735B76" w14:textId="29E2B70F" w:rsidR="006F4C36" w:rsidRDefault="004B132F" w:rsidP="00EF5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 xml:space="preserve">Trajanje projekta: </w:t>
      </w:r>
      <w:r w:rsidR="00B75B63">
        <w:rPr>
          <w:rFonts w:ascii="Times New Roman" w:hAnsi="Times New Roman" w:cs="Times New Roman"/>
          <w:sz w:val="24"/>
          <w:szCs w:val="24"/>
        </w:rPr>
        <w:t>od 15.9.2025. do 15.3.2027.</w:t>
      </w:r>
    </w:p>
    <w:p w14:paraId="5C36D92E" w14:textId="77CEAA6D" w:rsidR="004B132F" w:rsidRPr="004B132F" w:rsidRDefault="004B132F" w:rsidP="00EF5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 xml:space="preserve">Ukupna </w:t>
      </w:r>
      <w:r w:rsidR="006F4C36">
        <w:rPr>
          <w:rFonts w:ascii="Times New Roman" w:hAnsi="Times New Roman" w:cs="Times New Roman"/>
          <w:sz w:val="24"/>
          <w:szCs w:val="24"/>
        </w:rPr>
        <w:t xml:space="preserve">ugovorena </w:t>
      </w:r>
      <w:r w:rsidRPr="004B132F">
        <w:rPr>
          <w:rFonts w:ascii="Times New Roman" w:hAnsi="Times New Roman" w:cs="Times New Roman"/>
          <w:sz w:val="24"/>
          <w:szCs w:val="24"/>
        </w:rPr>
        <w:t xml:space="preserve">vrijednost projekta: </w:t>
      </w:r>
      <w:r w:rsidR="006D1C49">
        <w:rPr>
          <w:rFonts w:ascii="Times New Roman" w:hAnsi="Times New Roman" w:cs="Times New Roman"/>
          <w:sz w:val="24"/>
          <w:szCs w:val="24"/>
        </w:rPr>
        <w:t>1.805.768,00 eura</w:t>
      </w:r>
      <w:r w:rsidR="00B75B63">
        <w:rPr>
          <w:rFonts w:ascii="Times New Roman" w:hAnsi="Times New Roman" w:cs="Times New Roman"/>
          <w:sz w:val="24"/>
          <w:szCs w:val="24"/>
        </w:rPr>
        <w:t>.</w:t>
      </w:r>
    </w:p>
    <w:p w14:paraId="3F368FF4" w14:textId="74F9A541" w:rsidR="004B132F" w:rsidRPr="004B132F" w:rsidRDefault="00B75B63" w:rsidP="00EF5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>Ukupna ugovorena vrijednost projekta za Fakultet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D1C49">
        <w:rPr>
          <w:rFonts w:ascii="Times New Roman" w:hAnsi="Times New Roman" w:cs="Times New Roman"/>
          <w:sz w:val="24"/>
          <w:szCs w:val="24"/>
        </w:rPr>
        <w:t>250.488,00 eura.</w:t>
      </w:r>
    </w:p>
    <w:p w14:paraId="6C9CA4D4" w14:textId="6B49E8AE" w:rsidR="004B132F" w:rsidRDefault="004B132F" w:rsidP="00EF5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>Dodijeljeni iznos bespovratnih sredstava</w:t>
      </w:r>
      <w:r w:rsidR="006D1C49">
        <w:rPr>
          <w:rFonts w:ascii="Times New Roman" w:hAnsi="Times New Roman" w:cs="Times New Roman"/>
          <w:sz w:val="24"/>
          <w:szCs w:val="24"/>
        </w:rPr>
        <w:t xml:space="preserve"> 212.914,80 eura.</w:t>
      </w:r>
    </w:p>
    <w:p w14:paraId="506C3B9F" w14:textId="77777777" w:rsidR="004B132F" w:rsidRPr="004B132F" w:rsidRDefault="004B132F" w:rsidP="00EF5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 xml:space="preserve">U 2025. godini ukupno su planirana sredstva u iznosu od </w:t>
      </w:r>
      <w:r>
        <w:rPr>
          <w:rFonts w:ascii="Times New Roman" w:hAnsi="Times New Roman" w:cs="Times New Roman"/>
          <w:sz w:val="24"/>
          <w:szCs w:val="24"/>
        </w:rPr>
        <w:t>82.908,00 eura</w:t>
      </w:r>
      <w:r w:rsidRPr="004B132F">
        <w:rPr>
          <w:rFonts w:ascii="Times New Roman" w:hAnsi="Times New Roman" w:cs="Times New Roman"/>
          <w:sz w:val="24"/>
          <w:szCs w:val="24"/>
        </w:rPr>
        <w:t>.</w:t>
      </w:r>
    </w:p>
    <w:p w14:paraId="7AE78F07" w14:textId="25350B6F" w:rsidR="004B132F" w:rsidRDefault="004B132F" w:rsidP="0003665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>Aktivnosti projekta u 202</w:t>
      </w:r>
      <w:r w:rsidR="00587CB3">
        <w:rPr>
          <w:rFonts w:ascii="Times New Roman" w:hAnsi="Times New Roman" w:cs="Times New Roman"/>
          <w:sz w:val="24"/>
          <w:szCs w:val="24"/>
        </w:rPr>
        <w:t>5</w:t>
      </w:r>
      <w:r w:rsidRPr="004B132F">
        <w:rPr>
          <w:rFonts w:ascii="Times New Roman" w:hAnsi="Times New Roman" w:cs="Times New Roman"/>
          <w:sz w:val="24"/>
          <w:szCs w:val="24"/>
        </w:rPr>
        <w:t>. godini:</w:t>
      </w:r>
      <w:r w:rsidR="00036659">
        <w:rPr>
          <w:rFonts w:ascii="Times New Roman" w:hAnsi="Times New Roman" w:cs="Times New Roman"/>
          <w:sz w:val="24"/>
          <w:szCs w:val="24"/>
        </w:rPr>
        <w:t xml:space="preserve"> </w:t>
      </w:r>
      <w:r w:rsidRPr="004B132F">
        <w:rPr>
          <w:rFonts w:ascii="Times New Roman" w:hAnsi="Times New Roman" w:cs="Times New Roman"/>
          <w:sz w:val="24"/>
          <w:szCs w:val="24"/>
        </w:rPr>
        <w:t>U 202</w:t>
      </w:r>
      <w:r w:rsidR="00587CB3">
        <w:rPr>
          <w:rFonts w:ascii="Times New Roman" w:hAnsi="Times New Roman" w:cs="Times New Roman"/>
          <w:sz w:val="24"/>
          <w:szCs w:val="24"/>
        </w:rPr>
        <w:t>5</w:t>
      </w:r>
      <w:r w:rsidRPr="004B132F">
        <w:rPr>
          <w:rFonts w:ascii="Times New Roman" w:hAnsi="Times New Roman" w:cs="Times New Roman"/>
          <w:sz w:val="24"/>
          <w:szCs w:val="24"/>
        </w:rPr>
        <w:t>. godini projekta se planira izrada dokumentacije za „zelene sobe“ i održavanje radionica za širu javnost na kojima će se informirati šira javnost o aktivnostima projekta. Započinje priprema na razvoju mobilne aplikacije za prilagodbu i otpornost na vremenske nepogode. U ovoj godini započinje izrada mrežne stranice projekta. Od nabave se planira provesti nabava opreme potrebne za mjerenje meteoroloških uvjeta na lokalnom području i ispitivanja „zelene sobe“.</w:t>
      </w:r>
    </w:p>
    <w:p w14:paraId="7F047145" w14:textId="6C526079" w:rsidR="00036659" w:rsidRDefault="00036659" w:rsidP="0003665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F4C0635" w14:textId="21091614" w:rsidR="006F2DE4" w:rsidRDefault="006F2DE4" w:rsidP="0003665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4A0CD5C" w14:textId="1B9542D0" w:rsidR="006F2DE4" w:rsidRDefault="006F2DE4" w:rsidP="0003665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830DE95" w14:textId="77777777" w:rsidR="006F2DE4" w:rsidRDefault="006F2DE4" w:rsidP="0003665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318E442" w14:textId="679A51F6" w:rsidR="009603C8" w:rsidRDefault="004B132F" w:rsidP="00246E6D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32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A679071 NOVI PODPROJEKT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Harmonisation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joint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monitoring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modelling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groundwater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system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Pannonian</w:t>
      </w:r>
      <w:proofErr w:type="spellEnd"/>
      <w:r w:rsidRPr="004B1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32F">
        <w:rPr>
          <w:rFonts w:ascii="Times New Roman" w:hAnsi="Times New Roman" w:cs="Times New Roman"/>
          <w:b/>
          <w:sz w:val="24"/>
          <w:szCs w:val="24"/>
        </w:rPr>
        <w:t>Plain</w:t>
      </w:r>
      <w:proofErr w:type="spellEnd"/>
    </w:p>
    <w:p w14:paraId="6DCB5B91" w14:textId="77777777" w:rsidR="00823ED5" w:rsidRDefault="00823ED5" w:rsidP="00246E6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823ED5" w:rsidRPr="002A5E6A" w14:paraId="6B67A4A2" w14:textId="77777777" w:rsidTr="00CF2BC5">
        <w:trPr>
          <w:trHeight w:val="483"/>
          <w:jc w:val="center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141E3E99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75427CE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Plan 2025.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287FAD4" w14:textId="77777777" w:rsidR="00823ED5" w:rsidRPr="009E443D" w:rsidRDefault="00823ED5" w:rsidP="00FA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Povećanje/</w:t>
            </w:r>
          </w:p>
          <w:p w14:paraId="55AE6D8F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smanjenje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FADD8EC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Novi plan 2025.</w:t>
            </w:r>
          </w:p>
        </w:tc>
      </w:tr>
      <w:tr w:rsidR="00823ED5" w:rsidRPr="002A5E6A" w14:paraId="4F95037C" w14:textId="77777777" w:rsidTr="00BA3A1E">
        <w:trPr>
          <w:trHeight w:val="668"/>
          <w:jc w:val="center"/>
        </w:trPr>
        <w:tc>
          <w:tcPr>
            <w:tcW w:w="3402" w:type="dxa"/>
            <w:vAlign w:val="center"/>
          </w:tcPr>
          <w:p w14:paraId="30618A42" w14:textId="032D8BFA" w:rsidR="00823ED5" w:rsidRPr="002A5E6A" w:rsidRDefault="00823ED5" w:rsidP="00BA3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6A">
              <w:rPr>
                <w:rFonts w:ascii="Times New Roman" w:hAnsi="Times New Roman" w:cs="Times New Roman"/>
              </w:rPr>
              <w:t>A679071</w:t>
            </w:r>
            <w:r>
              <w:rPr>
                <w:rFonts w:ascii="Times New Roman" w:hAnsi="Times New Roman" w:cs="Times New Roman"/>
              </w:rPr>
              <w:t xml:space="preserve"> NOVI PODPROJEKT</w:t>
            </w:r>
          </w:p>
        </w:tc>
        <w:tc>
          <w:tcPr>
            <w:tcW w:w="1701" w:type="dxa"/>
            <w:vAlign w:val="bottom"/>
          </w:tcPr>
          <w:p w14:paraId="2901C3DF" w14:textId="3B371A9D" w:rsidR="00823ED5" w:rsidRPr="002A5E6A" w:rsidRDefault="00310DD7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15.771,00</w:t>
            </w:r>
          </w:p>
        </w:tc>
        <w:tc>
          <w:tcPr>
            <w:tcW w:w="1701" w:type="dxa"/>
            <w:vAlign w:val="bottom"/>
          </w:tcPr>
          <w:p w14:paraId="43C40DD7" w14:textId="4C7CEA53" w:rsidR="00823ED5" w:rsidRPr="002A5E6A" w:rsidRDefault="003E629F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bottom"/>
          </w:tcPr>
          <w:p w14:paraId="5353C40D" w14:textId="5DE22CB3" w:rsidR="00823ED5" w:rsidRPr="002A5E6A" w:rsidRDefault="001D238F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15.771</w:t>
            </w:r>
            <w:r w:rsidR="00310DD7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5AC008CB" w14:textId="77777777" w:rsidR="00823ED5" w:rsidRDefault="00823ED5" w:rsidP="00246E6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73A8E823" w14:textId="2D84CD2D" w:rsidR="004B132F" w:rsidRDefault="004B132F" w:rsidP="00246E6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 xml:space="preserve">Naziv projekta: </w:t>
      </w:r>
      <w:proofErr w:type="spellStart"/>
      <w:r w:rsidRPr="00156A7C">
        <w:rPr>
          <w:rFonts w:ascii="Times New Roman" w:hAnsi="Times New Roman" w:cs="Times New Roman"/>
          <w:sz w:val="24"/>
          <w:szCs w:val="24"/>
        </w:rPr>
        <w:t>Harmonisation</w:t>
      </w:r>
      <w:proofErr w:type="spellEnd"/>
      <w:r w:rsidRPr="0015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A7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A7C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156A7C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156A7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5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A7C">
        <w:rPr>
          <w:rFonts w:ascii="Times New Roman" w:hAnsi="Times New Roman" w:cs="Times New Roman"/>
          <w:sz w:val="24"/>
          <w:szCs w:val="24"/>
        </w:rPr>
        <w:t>modelling</w:t>
      </w:r>
      <w:proofErr w:type="spellEnd"/>
      <w:r w:rsidRPr="0015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A7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A7C">
        <w:rPr>
          <w:rFonts w:ascii="Times New Roman" w:hAnsi="Times New Roman" w:cs="Times New Roman"/>
          <w:sz w:val="24"/>
          <w:szCs w:val="24"/>
        </w:rPr>
        <w:t>groundwater</w:t>
      </w:r>
      <w:proofErr w:type="spellEnd"/>
      <w:r w:rsidRPr="00156A7C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156A7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5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A7C">
        <w:rPr>
          <w:rFonts w:ascii="Times New Roman" w:hAnsi="Times New Roman" w:cs="Times New Roman"/>
          <w:sz w:val="24"/>
          <w:szCs w:val="24"/>
        </w:rPr>
        <w:t>Pannonian</w:t>
      </w:r>
      <w:proofErr w:type="spellEnd"/>
      <w:r w:rsidRPr="00156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A7C">
        <w:rPr>
          <w:rFonts w:ascii="Times New Roman" w:hAnsi="Times New Roman" w:cs="Times New Roman"/>
          <w:sz w:val="24"/>
          <w:szCs w:val="24"/>
        </w:rPr>
        <w:t>Plain</w:t>
      </w:r>
      <w:proofErr w:type="spellEnd"/>
    </w:p>
    <w:p w14:paraId="11EC5F6F" w14:textId="2F74909D" w:rsidR="006B2D16" w:rsidRPr="006B2D16" w:rsidRDefault="00B75B63" w:rsidP="00EE15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302F">
        <w:rPr>
          <w:rFonts w:ascii="Times New Roman" w:hAnsi="Times New Roman" w:cs="Times New Roman"/>
          <w:sz w:val="24"/>
          <w:szCs w:val="24"/>
        </w:rPr>
        <w:t>Opis projekta:</w:t>
      </w:r>
      <w:r w:rsidR="006B2D16" w:rsidRPr="00FA302F">
        <w:rPr>
          <w:rFonts w:ascii="Times New Roman" w:hAnsi="Times New Roman" w:cs="Times New Roman"/>
          <w:sz w:val="24"/>
          <w:szCs w:val="24"/>
        </w:rPr>
        <w:t xml:space="preserve"> </w:t>
      </w:r>
      <w:r w:rsidR="006B2D16" w:rsidRPr="006B2D16">
        <w:rPr>
          <w:rFonts w:ascii="Times New Roman" w:hAnsi="Times New Roman" w:cs="Times New Roman"/>
          <w:bCs/>
          <w:sz w:val="24"/>
          <w:szCs w:val="24"/>
        </w:rPr>
        <w:t>Projektom je obuhvaćeno nekoliko aktivnosti :</w:t>
      </w:r>
      <w:r w:rsidR="006B2D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2D16" w:rsidRPr="006B2D16">
        <w:rPr>
          <w:rFonts w:ascii="Times New Roman" w:hAnsi="Times New Roman" w:cs="Times New Roman"/>
          <w:bCs/>
          <w:sz w:val="24"/>
          <w:szCs w:val="24"/>
        </w:rPr>
        <w:t>povezati nacionalne opažačke mreže razine podzemnih voda na području Panonske nizine i dati preporuke za poboljšanje monitoringa (harmonizaciju)</w:t>
      </w:r>
      <w:r w:rsidR="006B2D1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B2D16" w:rsidRPr="006B2D16">
        <w:rPr>
          <w:rFonts w:ascii="Times New Roman" w:hAnsi="Times New Roman" w:cs="Times New Roman"/>
          <w:bCs/>
          <w:sz w:val="24"/>
          <w:szCs w:val="24"/>
        </w:rPr>
        <w:t xml:space="preserve"> utvrditi potencijalni utjecaj klimatskih promjena na razine plitkih podzemnih voda</w:t>
      </w:r>
      <w:r w:rsidR="006B2D1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B2D16" w:rsidRPr="006B2D16">
        <w:rPr>
          <w:rFonts w:ascii="Times New Roman" w:hAnsi="Times New Roman" w:cs="Times New Roman"/>
          <w:bCs/>
          <w:sz w:val="24"/>
          <w:szCs w:val="24"/>
        </w:rPr>
        <w:t xml:space="preserve"> utvrditi kritične točke i potencijalne posljedice sniženja razine podzemnih voda na okoliš i poljoprivredu (vodnu bilancu)</w:t>
      </w:r>
      <w:r w:rsidR="006B2D16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6B2D16" w:rsidRPr="006B2D16">
        <w:rPr>
          <w:rFonts w:ascii="Times New Roman" w:hAnsi="Times New Roman" w:cs="Times New Roman"/>
          <w:bCs/>
          <w:sz w:val="24"/>
          <w:szCs w:val="24"/>
        </w:rPr>
        <w:t>kreirati plan rada za budući projekt (budžet, partneri, zainteresirane institucije, izvori financiranja).</w:t>
      </w:r>
    </w:p>
    <w:p w14:paraId="4F836142" w14:textId="77777777" w:rsidR="00EF5962" w:rsidRDefault="00EF5962" w:rsidP="00EF59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21A5A3" w14:textId="7EDA5D7E" w:rsidR="004B132F" w:rsidRPr="0090123D" w:rsidRDefault="008E2285" w:rsidP="00EF596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39A4">
        <w:rPr>
          <w:rFonts w:ascii="Times New Roman" w:hAnsi="Times New Roman" w:cs="Times New Roman"/>
          <w:sz w:val="24"/>
          <w:szCs w:val="24"/>
        </w:rPr>
        <w:t>Nositelj projekta</w:t>
      </w:r>
      <w:r>
        <w:rPr>
          <w:rFonts w:ascii="Times New Roman" w:hAnsi="Times New Roman" w:cs="Times New Roman"/>
          <w:sz w:val="24"/>
          <w:szCs w:val="24"/>
        </w:rPr>
        <w:t>/uplatitelj sredstava</w:t>
      </w:r>
      <w:r w:rsidRPr="008A39A4">
        <w:rPr>
          <w:rFonts w:ascii="Times New Roman" w:hAnsi="Times New Roman" w:cs="Times New Roman"/>
          <w:sz w:val="24"/>
          <w:szCs w:val="24"/>
        </w:rPr>
        <w:t>:</w:t>
      </w:r>
      <w:r w:rsidR="00D84A9D">
        <w:rPr>
          <w:rFonts w:ascii="Times New Roman" w:hAnsi="Times New Roman" w:cs="Times New Roman"/>
          <w:sz w:val="24"/>
          <w:szCs w:val="24"/>
        </w:rPr>
        <w:t xml:space="preserve"> Građevinski i arhitektonski fakultet Osijek, </w:t>
      </w:r>
      <w:r w:rsidR="00D84A9D">
        <w:rPr>
          <w:rFonts w:ascii="Roboto" w:hAnsi="Roboto"/>
          <w:color w:val="333333"/>
          <w:shd w:val="clear" w:color="auto" w:fill="FFFFFF"/>
        </w:rPr>
        <w:t>Ministarstvo javne uprave i regionalnog razvoja Mađarske</w:t>
      </w:r>
    </w:p>
    <w:p w14:paraId="71DC4444" w14:textId="25DCA4BD" w:rsidR="004B132F" w:rsidRPr="00156A7C" w:rsidRDefault="004B132F" w:rsidP="00EF5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Trajanje projekta: 1</w:t>
      </w:r>
      <w:r w:rsidR="006B2D16">
        <w:rPr>
          <w:rFonts w:ascii="Times New Roman" w:hAnsi="Times New Roman" w:cs="Times New Roman"/>
          <w:sz w:val="24"/>
          <w:szCs w:val="24"/>
        </w:rPr>
        <w:t>,9.2024. do 31.8.2025.</w:t>
      </w:r>
    </w:p>
    <w:p w14:paraId="2A33CDAE" w14:textId="1EB28DBD" w:rsidR="004B132F" w:rsidRPr="00156A7C" w:rsidRDefault="0090123D" w:rsidP="00EF5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32F">
        <w:rPr>
          <w:rFonts w:ascii="Times New Roman" w:hAnsi="Times New Roman" w:cs="Times New Roman"/>
          <w:sz w:val="24"/>
          <w:szCs w:val="24"/>
        </w:rPr>
        <w:t xml:space="preserve">Ukupna </w:t>
      </w:r>
      <w:r>
        <w:rPr>
          <w:rFonts w:ascii="Times New Roman" w:hAnsi="Times New Roman" w:cs="Times New Roman"/>
          <w:sz w:val="24"/>
          <w:szCs w:val="24"/>
        </w:rPr>
        <w:t xml:space="preserve">ugovorena </w:t>
      </w:r>
      <w:r w:rsidRPr="004B132F">
        <w:rPr>
          <w:rFonts w:ascii="Times New Roman" w:hAnsi="Times New Roman" w:cs="Times New Roman"/>
          <w:sz w:val="24"/>
          <w:szCs w:val="24"/>
        </w:rPr>
        <w:t>vrijednost projekta:</w:t>
      </w:r>
      <w:r w:rsidR="004B132F" w:rsidRPr="00156A7C">
        <w:rPr>
          <w:rFonts w:ascii="Times New Roman" w:hAnsi="Times New Roman" w:cs="Times New Roman"/>
          <w:sz w:val="24"/>
          <w:szCs w:val="24"/>
        </w:rPr>
        <w:t xml:space="preserve"> 55</w:t>
      </w:r>
      <w:r w:rsidR="004B132F">
        <w:rPr>
          <w:rFonts w:ascii="Times New Roman" w:hAnsi="Times New Roman" w:cs="Times New Roman"/>
          <w:sz w:val="24"/>
          <w:szCs w:val="24"/>
        </w:rPr>
        <w:t>.</w:t>
      </w:r>
      <w:r w:rsidR="004B132F" w:rsidRPr="00156A7C">
        <w:rPr>
          <w:rFonts w:ascii="Times New Roman" w:hAnsi="Times New Roman" w:cs="Times New Roman"/>
          <w:sz w:val="24"/>
          <w:szCs w:val="24"/>
        </w:rPr>
        <w:t>245,40</w:t>
      </w:r>
      <w:r w:rsidR="004B132F">
        <w:rPr>
          <w:rFonts w:ascii="Times New Roman" w:hAnsi="Times New Roman" w:cs="Times New Roman"/>
          <w:sz w:val="24"/>
          <w:szCs w:val="24"/>
        </w:rPr>
        <w:t xml:space="preserve"> 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2066521F" w14:textId="3AD4CC17" w:rsidR="004B132F" w:rsidRPr="00156A7C" w:rsidRDefault="0090123D" w:rsidP="00EF5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>Ukupna ugovorena vrijednost projekta za Fakultet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132F" w:rsidRPr="00156A7C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217045046"/>
      <w:r w:rsidR="004B132F" w:rsidRPr="00156A7C">
        <w:rPr>
          <w:rFonts w:ascii="Times New Roman" w:hAnsi="Times New Roman" w:cs="Times New Roman"/>
          <w:sz w:val="24"/>
          <w:szCs w:val="24"/>
        </w:rPr>
        <w:t>15</w:t>
      </w:r>
      <w:r w:rsidR="004B132F">
        <w:rPr>
          <w:rFonts w:ascii="Times New Roman" w:hAnsi="Times New Roman" w:cs="Times New Roman"/>
          <w:sz w:val="24"/>
          <w:szCs w:val="24"/>
        </w:rPr>
        <w:t>.</w:t>
      </w:r>
      <w:r w:rsidR="004B132F" w:rsidRPr="00156A7C">
        <w:rPr>
          <w:rFonts w:ascii="Times New Roman" w:hAnsi="Times New Roman" w:cs="Times New Roman"/>
          <w:sz w:val="24"/>
          <w:szCs w:val="24"/>
        </w:rPr>
        <w:t>771,0</w:t>
      </w:r>
      <w:r w:rsidR="004B132F">
        <w:rPr>
          <w:rFonts w:ascii="Times New Roman" w:hAnsi="Times New Roman" w:cs="Times New Roman"/>
          <w:sz w:val="24"/>
          <w:szCs w:val="24"/>
        </w:rPr>
        <w:t xml:space="preserve">0 </w:t>
      </w:r>
      <w:bookmarkEnd w:id="1"/>
      <w:r w:rsidR="004B132F">
        <w:rPr>
          <w:rFonts w:ascii="Times New Roman" w:hAnsi="Times New Roman" w:cs="Times New Roman"/>
          <w:sz w:val="24"/>
          <w:szCs w:val="24"/>
        </w:rPr>
        <w:t>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2F1B3F2A" w14:textId="761F5245" w:rsidR="004B132F" w:rsidRPr="00156A7C" w:rsidRDefault="004B132F" w:rsidP="00EF5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Dodijeljeni iznos bespovratnih sredstava: 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6A7C">
        <w:rPr>
          <w:rFonts w:ascii="Times New Roman" w:hAnsi="Times New Roman" w:cs="Times New Roman"/>
          <w:sz w:val="24"/>
          <w:szCs w:val="24"/>
        </w:rPr>
        <w:t>616,80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90123D">
        <w:rPr>
          <w:rFonts w:ascii="Times New Roman" w:hAnsi="Times New Roman" w:cs="Times New Roman"/>
          <w:sz w:val="24"/>
          <w:szCs w:val="24"/>
        </w:rPr>
        <w:t>.</w:t>
      </w:r>
    </w:p>
    <w:p w14:paraId="718D043F" w14:textId="12D02705" w:rsidR="004B132F" w:rsidRPr="00156A7C" w:rsidRDefault="004B132F" w:rsidP="00EF5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 xml:space="preserve">U 2025. godini ukupno su planirana sredstva u iznosu </w:t>
      </w:r>
      <w:r w:rsidR="001D238F" w:rsidRPr="00156A7C">
        <w:rPr>
          <w:rFonts w:ascii="Times New Roman" w:hAnsi="Times New Roman" w:cs="Times New Roman"/>
          <w:sz w:val="24"/>
          <w:szCs w:val="24"/>
        </w:rPr>
        <w:t>15</w:t>
      </w:r>
      <w:r w:rsidR="001D238F">
        <w:rPr>
          <w:rFonts w:ascii="Times New Roman" w:hAnsi="Times New Roman" w:cs="Times New Roman"/>
          <w:sz w:val="24"/>
          <w:szCs w:val="24"/>
        </w:rPr>
        <w:t>.</w:t>
      </w:r>
      <w:r w:rsidR="001D238F" w:rsidRPr="00156A7C">
        <w:rPr>
          <w:rFonts w:ascii="Times New Roman" w:hAnsi="Times New Roman" w:cs="Times New Roman"/>
          <w:sz w:val="24"/>
          <w:szCs w:val="24"/>
        </w:rPr>
        <w:t>771,0</w:t>
      </w:r>
      <w:r w:rsidR="001D238F">
        <w:rPr>
          <w:rFonts w:ascii="Times New Roman" w:hAnsi="Times New Roman" w:cs="Times New Roman"/>
          <w:sz w:val="24"/>
          <w:szCs w:val="24"/>
        </w:rPr>
        <w:t xml:space="preserve">0 </w:t>
      </w:r>
      <w:r w:rsidRPr="00156A7C">
        <w:rPr>
          <w:rFonts w:ascii="Times New Roman" w:hAnsi="Times New Roman" w:cs="Times New Roman"/>
          <w:sz w:val="24"/>
          <w:szCs w:val="24"/>
        </w:rPr>
        <w:t>eura</w:t>
      </w:r>
      <w:r w:rsidR="006D1C49">
        <w:rPr>
          <w:rFonts w:ascii="Times New Roman" w:hAnsi="Times New Roman" w:cs="Times New Roman"/>
          <w:sz w:val="24"/>
          <w:szCs w:val="24"/>
        </w:rPr>
        <w:t>.</w:t>
      </w:r>
    </w:p>
    <w:p w14:paraId="7FB43D72" w14:textId="0709F23C" w:rsidR="00536CCD" w:rsidRDefault="004B132F" w:rsidP="00246E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Aktivnosti projekta u 2025. godini:</w:t>
      </w:r>
      <w:r w:rsidR="00036659">
        <w:rPr>
          <w:rFonts w:ascii="Times New Roman" w:hAnsi="Times New Roman" w:cs="Times New Roman"/>
          <w:sz w:val="24"/>
          <w:szCs w:val="24"/>
        </w:rPr>
        <w:t xml:space="preserve"> </w:t>
      </w:r>
      <w:r w:rsidRPr="006D1C49">
        <w:rPr>
          <w:rFonts w:ascii="Times New Roman" w:hAnsi="Times New Roman" w:cs="Times New Roman"/>
          <w:sz w:val="24"/>
          <w:szCs w:val="24"/>
        </w:rPr>
        <w:t>Tijekom 2025.godine  planira se izraditi karta podzemnih voda područja Panonske nizine zajedno sa statističkom obradom</w:t>
      </w:r>
      <w:r w:rsidR="00EF5962">
        <w:rPr>
          <w:rFonts w:ascii="Times New Roman" w:hAnsi="Times New Roman" w:cs="Times New Roman"/>
          <w:sz w:val="24"/>
          <w:szCs w:val="24"/>
        </w:rPr>
        <w:t>.</w:t>
      </w:r>
      <w:r w:rsidRPr="006D1C49">
        <w:rPr>
          <w:rFonts w:ascii="Times New Roman" w:hAnsi="Times New Roman" w:cs="Times New Roman"/>
          <w:sz w:val="24"/>
          <w:szCs w:val="24"/>
        </w:rPr>
        <w:t xml:space="preserve"> Drugi dio projekta obuhvaća pripremu glavnog projekta, odnosno plana rada i izvore financiranja. Ovaj projekt pripada skupini SMF projekta ( </w:t>
      </w:r>
      <w:proofErr w:type="spellStart"/>
      <w:r w:rsidRPr="006D1C49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6D1C49">
        <w:rPr>
          <w:rFonts w:ascii="Times New Roman" w:hAnsi="Times New Roman" w:cs="Times New Roman"/>
          <w:sz w:val="24"/>
          <w:szCs w:val="24"/>
        </w:rPr>
        <w:t xml:space="preserve"> Money </w:t>
      </w:r>
      <w:proofErr w:type="spellStart"/>
      <w:r w:rsidRPr="006D1C49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6D1C49">
        <w:rPr>
          <w:rFonts w:ascii="Times New Roman" w:hAnsi="Times New Roman" w:cs="Times New Roman"/>
          <w:sz w:val="24"/>
          <w:szCs w:val="24"/>
        </w:rPr>
        <w:t>)  kojima je osnovni cilj pripremiti ciljeve, aktivnosti za veliki proje</w:t>
      </w:r>
      <w:r w:rsidR="00A80BA7">
        <w:rPr>
          <w:rFonts w:ascii="Times New Roman" w:hAnsi="Times New Roman" w:cs="Times New Roman"/>
          <w:sz w:val="24"/>
          <w:szCs w:val="24"/>
        </w:rPr>
        <w:t>k</w:t>
      </w:r>
      <w:r w:rsidRPr="006D1C49">
        <w:rPr>
          <w:rFonts w:ascii="Times New Roman" w:hAnsi="Times New Roman" w:cs="Times New Roman"/>
          <w:sz w:val="24"/>
          <w:szCs w:val="24"/>
        </w:rPr>
        <w:t>t koji će se prijaviti po završetku SMF projekta.</w:t>
      </w:r>
    </w:p>
    <w:p w14:paraId="32381B99" w14:textId="44CFC745" w:rsidR="00EF5962" w:rsidRDefault="00EF5962" w:rsidP="00246E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21C8365" w14:textId="5AF3E4D6" w:rsidR="006F2DE4" w:rsidRDefault="006F2DE4" w:rsidP="00246E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99ED862" w14:textId="2C39433A" w:rsidR="006F2DE4" w:rsidRDefault="006F2DE4" w:rsidP="00246E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BD4CC7B" w14:textId="2E614AE6" w:rsidR="006F2DE4" w:rsidRDefault="006F2DE4" w:rsidP="00246E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5831F76" w14:textId="56C1ED6B" w:rsidR="006F2DE4" w:rsidRDefault="006F2DE4" w:rsidP="00246E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8BE1509" w14:textId="77777777" w:rsidR="006F2DE4" w:rsidRDefault="006F2DE4" w:rsidP="00246E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5D523C3" w14:textId="76BE5AF4" w:rsidR="00C8608F" w:rsidRPr="00C8608F" w:rsidRDefault="00C8608F" w:rsidP="00246E6D">
      <w:pPr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08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A679071 NOVI PODPROJEKT </w:t>
      </w:r>
      <w:proofErr w:type="spellStart"/>
      <w:r w:rsidRPr="00C8608F">
        <w:rPr>
          <w:rFonts w:ascii="Times New Roman" w:hAnsi="Times New Roman" w:cs="Times New Roman"/>
          <w:b/>
          <w:sz w:val="24"/>
          <w:szCs w:val="24"/>
        </w:rPr>
        <w:t>Forensic</w:t>
      </w:r>
      <w:proofErr w:type="spellEnd"/>
      <w:r w:rsidRPr="00C860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608F">
        <w:rPr>
          <w:rFonts w:ascii="Times New Roman" w:hAnsi="Times New Roman" w:cs="Times New Roman"/>
          <w:b/>
          <w:sz w:val="24"/>
          <w:szCs w:val="24"/>
        </w:rPr>
        <w:t>Structural</w:t>
      </w:r>
      <w:proofErr w:type="spellEnd"/>
      <w:r w:rsidRPr="00C860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608F">
        <w:rPr>
          <w:rFonts w:ascii="Times New Roman" w:hAnsi="Times New Roman" w:cs="Times New Roman"/>
          <w:b/>
          <w:sz w:val="24"/>
          <w:szCs w:val="24"/>
        </w:rPr>
        <w:t>Engineering</w:t>
      </w:r>
      <w:proofErr w:type="spellEnd"/>
      <w:r w:rsidRPr="00C860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608F">
        <w:rPr>
          <w:rFonts w:ascii="Times New Roman" w:hAnsi="Times New Roman" w:cs="Times New Roman"/>
          <w:b/>
          <w:sz w:val="24"/>
          <w:szCs w:val="24"/>
        </w:rPr>
        <w:t>database</w:t>
      </w:r>
      <w:proofErr w:type="spellEnd"/>
      <w:r w:rsidRPr="00C8608F">
        <w:rPr>
          <w:rFonts w:ascii="Times New Roman" w:hAnsi="Times New Roman" w:cs="Times New Roman"/>
          <w:b/>
          <w:sz w:val="24"/>
          <w:szCs w:val="24"/>
        </w:rPr>
        <w:t xml:space="preserve"> for HEI </w:t>
      </w:r>
      <w:proofErr w:type="spellStart"/>
      <w:r w:rsidRPr="00C8608F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C8608F">
        <w:rPr>
          <w:rFonts w:ascii="Times New Roman" w:hAnsi="Times New Roman" w:cs="Times New Roman"/>
          <w:b/>
          <w:sz w:val="24"/>
          <w:szCs w:val="24"/>
        </w:rPr>
        <w:t xml:space="preserve"> pilot </w:t>
      </w:r>
      <w:proofErr w:type="spellStart"/>
      <w:r w:rsidRPr="00C8608F">
        <w:rPr>
          <w:rFonts w:ascii="Times New Roman" w:hAnsi="Times New Roman" w:cs="Times New Roman"/>
          <w:b/>
          <w:sz w:val="24"/>
          <w:szCs w:val="24"/>
        </w:rPr>
        <w:t>course</w:t>
      </w:r>
      <w:proofErr w:type="spellEnd"/>
      <w:r w:rsidRPr="00C860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608F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C860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608F">
        <w:rPr>
          <w:rFonts w:ascii="Times New Roman" w:hAnsi="Times New Roman" w:cs="Times New Roman"/>
          <w:b/>
          <w:sz w:val="24"/>
          <w:szCs w:val="24"/>
        </w:rPr>
        <w:t>innovative</w:t>
      </w:r>
      <w:proofErr w:type="spellEnd"/>
      <w:r w:rsidRPr="00C860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608F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C860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608F">
        <w:rPr>
          <w:rFonts w:ascii="Times New Roman" w:hAnsi="Times New Roman" w:cs="Times New Roman"/>
          <w:b/>
          <w:sz w:val="24"/>
          <w:szCs w:val="24"/>
        </w:rPr>
        <w:t>interactive</w:t>
      </w:r>
      <w:proofErr w:type="spellEnd"/>
      <w:r w:rsidRPr="00C860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608F">
        <w:rPr>
          <w:rFonts w:ascii="Times New Roman" w:hAnsi="Times New Roman" w:cs="Times New Roman"/>
          <w:b/>
          <w:sz w:val="24"/>
          <w:szCs w:val="24"/>
        </w:rPr>
        <w:t>learning</w:t>
      </w:r>
      <w:proofErr w:type="spellEnd"/>
      <w:r w:rsidRPr="00C860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608F">
        <w:rPr>
          <w:rFonts w:ascii="Times New Roman" w:hAnsi="Times New Roman" w:cs="Times New Roman"/>
          <w:b/>
          <w:sz w:val="24"/>
          <w:szCs w:val="24"/>
        </w:rPr>
        <w:t>methods</w:t>
      </w:r>
      <w:proofErr w:type="spellEnd"/>
      <w:r w:rsidRPr="00C8608F">
        <w:rPr>
          <w:rFonts w:ascii="Times New Roman" w:hAnsi="Times New Roman" w:cs="Times New Roman"/>
          <w:b/>
          <w:sz w:val="24"/>
          <w:szCs w:val="24"/>
        </w:rPr>
        <w:t xml:space="preserve"> (akronim RECONSTRUCT)</w:t>
      </w:r>
    </w:p>
    <w:p w14:paraId="2631B561" w14:textId="35C78F97" w:rsidR="00823ED5" w:rsidRDefault="00823ED5" w:rsidP="00246E6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823ED5" w:rsidRPr="002A5E6A" w14:paraId="5E0A2EB0" w14:textId="77777777" w:rsidTr="00CF2BC5">
        <w:trPr>
          <w:trHeight w:val="483"/>
          <w:jc w:val="center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7B2C8E8A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7653832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Plan 2025.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129BDF2" w14:textId="77777777" w:rsidR="00823ED5" w:rsidRPr="009E443D" w:rsidRDefault="00823ED5" w:rsidP="00FA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Povećanje/</w:t>
            </w:r>
          </w:p>
          <w:p w14:paraId="3968900E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smanjenje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B6B4A31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Novi plan 2025.</w:t>
            </w:r>
          </w:p>
        </w:tc>
      </w:tr>
      <w:tr w:rsidR="00823ED5" w:rsidRPr="002A5E6A" w14:paraId="6D8194E9" w14:textId="77777777" w:rsidTr="00BA3A1E">
        <w:trPr>
          <w:trHeight w:val="758"/>
          <w:jc w:val="center"/>
        </w:trPr>
        <w:tc>
          <w:tcPr>
            <w:tcW w:w="3402" w:type="dxa"/>
            <w:vAlign w:val="center"/>
          </w:tcPr>
          <w:p w14:paraId="78E55F2A" w14:textId="7949BED9" w:rsidR="00823ED5" w:rsidRPr="002A5E6A" w:rsidRDefault="00823ED5" w:rsidP="00BA3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6A">
              <w:rPr>
                <w:rFonts w:ascii="Times New Roman" w:hAnsi="Times New Roman" w:cs="Times New Roman"/>
              </w:rPr>
              <w:t>A679071</w:t>
            </w:r>
            <w:r>
              <w:rPr>
                <w:rFonts w:ascii="Times New Roman" w:hAnsi="Times New Roman" w:cs="Times New Roman"/>
              </w:rPr>
              <w:t xml:space="preserve"> NOVI PODPROJEKT</w:t>
            </w:r>
          </w:p>
        </w:tc>
        <w:tc>
          <w:tcPr>
            <w:tcW w:w="1701" w:type="dxa"/>
            <w:vAlign w:val="bottom"/>
          </w:tcPr>
          <w:p w14:paraId="1280D701" w14:textId="6B57E8B2" w:rsidR="00823ED5" w:rsidRPr="002A5E6A" w:rsidRDefault="00310DD7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29.500,00</w:t>
            </w:r>
          </w:p>
        </w:tc>
        <w:tc>
          <w:tcPr>
            <w:tcW w:w="1701" w:type="dxa"/>
            <w:vAlign w:val="bottom"/>
          </w:tcPr>
          <w:p w14:paraId="73C507DE" w14:textId="0EDABA4C" w:rsidR="00823ED5" w:rsidRPr="002A5E6A" w:rsidRDefault="003E629F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bottom"/>
          </w:tcPr>
          <w:p w14:paraId="68CBCCED" w14:textId="74CF7F41" w:rsidR="00823ED5" w:rsidRPr="002A5E6A" w:rsidRDefault="001D238F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29.500,00</w:t>
            </w:r>
          </w:p>
        </w:tc>
      </w:tr>
    </w:tbl>
    <w:p w14:paraId="43DC72CA" w14:textId="77777777" w:rsidR="00823ED5" w:rsidRDefault="00823ED5" w:rsidP="00246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9C170" w14:textId="274F3F07" w:rsidR="00C8608F" w:rsidRDefault="00C8608F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5350D7">
        <w:rPr>
          <w:rFonts w:ascii="Times New Roman" w:hAnsi="Times New Roman" w:cs="Times New Roman"/>
          <w:sz w:val="24"/>
          <w:szCs w:val="24"/>
        </w:rPr>
        <w:t xml:space="preserve">Naziv projekta: </w:t>
      </w:r>
      <w:proofErr w:type="spellStart"/>
      <w:r w:rsidRPr="005350D7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Pr="00535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0D7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535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0D7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535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0D7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5350D7">
        <w:rPr>
          <w:rFonts w:ascii="Times New Roman" w:hAnsi="Times New Roman" w:cs="Times New Roman"/>
          <w:sz w:val="24"/>
          <w:szCs w:val="24"/>
        </w:rPr>
        <w:t xml:space="preserve"> for HEI </w:t>
      </w:r>
      <w:proofErr w:type="spellStart"/>
      <w:r w:rsidRPr="005350D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350D7">
        <w:rPr>
          <w:rFonts w:ascii="Times New Roman" w:hAnsi="Times New Roman" w:cs="Times New Roman"/>
          <w:sz w:val="24"/>
          <w:szCs w:val="24"/>
        </w:rPr>
        <w:t xml:space="preserve"> pilot </w:t>
      </w:r>
      <w:proofErr w:type="spellStart"/>
      <w:r w:rsidRPr="005350D7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35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0D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35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0D7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535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0D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35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0D7">
        <w:rPr>
          <w:rFonts w:ascii="Times New Roman" w:hAnsi="Times New Roman" w:cs="Times New Roman"/>
          <w:sz w:val="24"/>
          <w:szCs w:val="24"/>
        </w:rPr>
        <w:t>interactive</w:t>
      </w:r>
      <w:proofErr w:type="spellEnd"/>
      <w:r w:rsidRPr="00535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0D7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535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0D7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535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16825" w14:textId="11399584" w:rsidR="00536CCD" w:rsidRDefault="00536CCD" w:rsidP="00246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302F">
        <w:rPr>
          <w:rFonts w:ascii="Times New Roman" w:hAnsi="Times New Roman" w:cs="Times New Roman"/>
          <w:sz w:val="24"/>
          <w:szCs w:val="24"/>
        </w:rPr>
        <w:t>Opis projekta:</w:t>
      </w:r>
      <w:r w:rsidR="00EE156E">
        <w:rPr>
          <w:rFonts w:ascii="Times New Roman" w:hAnsi="Times New Roman" w:cs="Times New Roman"/>
          <w:sz w:val="24"/>
          <w:szCs w:val="24"/>
        </w:rPr>
        <w:t xml:space="preserve"> </w:t>
      </w:r>
      <w:r w:rsidR="00652F60" w:rsidRPr="00513558">
        <w:rPr>
          <w:rFonts w:ascii="Times New Roman" w:hAnsi="Times New Roman" w:cs="Times New Roman"/>
          <w:sz w:val="24"/>
          <w:szCs w:val="24"/>
        </w:rPr>
        <w:t xml:space="preserve">Kao sastavnica Sveučilišta Josipa Jurja Strossmayera u Osijeku, Građevinski i arhitektonski fakultet Osijek u suradnji s Pravnim fakultetom Osijek, provodi projekt u okviru EU ERASMUS+ programa i Ključne mjere KA220-HED Suradnička partnerstva u visokom obrazovanju, pod naslovom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for HEI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pilot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interactive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, usmjerenog na interdisciplinarno obrazovanje stručnjaka u građevinarstvu s posebnim naglaskom na sudska vještačenja problema i pogrešaka u projektiranju i gradnji i njihovog otklanjanja, te primjenu građanskog i kaznenog prava, u obliku razvoja međunarodnog izbornog kolegija na europskoj razini. Ovaj je projekt pripremljen i pokrenut u suradnji s međunarodnim sveučilištima i ustanovama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Ruhr-Universität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Bochum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(Njemačka),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Aveiro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(Portugal), Institut za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zemljotresno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inženjerstvo i inženjersku seizmologiju (Sjeverna Makedonija),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Istituto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Universitario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Superiori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Pavia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(Italija) i Bauhaus-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Universität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Weimar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(Njemačka) koje je ujedno i ustanova nositelj projekta, a osječko sveučilište partnerska ustanova. Suradnja se odvija na više razina, uključujući izlaganja na znanstvenim skupovima i publikacije u časopisima, mentorstva i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komentorstva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diplomskih radova, uspostavljanje istraživačkih suradnji, radionice s vanjskim dionicima, kao što su stručnjaci i sudski vještaci, ujedno sa značajkama cjeloživotnog obrazovanja. Odabrani obrazovni pristup razvija se na temelju povratnih informacija prikupljenih izravno od stručnjaka iz gospodarstva, čime se osigurava usklađenost s potrebama tržišta rada. Projekt, koji će se provoditi od 1.9.2024. g. do 31.8.2025. g., također je u skladu sa Strategijom razvoja Sveučilišta Josipa Jurja Strossmayera u Osijeku 2021. – 2030. i Strategijom razvoja Građevinskog i arhitektonskog fakulteta Osijek 2023. - 2027. koje naglašavaju važnost međunarodne suradnje i razvoja obrazovnih pristupa. U rujnu 2024. g. održan je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kick-off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sastanak </w:t>
      </w:r>
      <w:proofErr w:type="spellStart"/>
      <w:r w:rsidR="00652F60" w:rsidRPr="00513558">
        <w:rPr>
          <w:rFonts w:ascii="Times New Roman" w:hAnsi="Times New Roman" w:cs="Times New Roman"/>
          <w:sz w:val="24"/>
          <w:szCs w:val="24"/>
        </w:rPr>
        <w:t>kooordinatora</w:t>
      </w:r>
      <w:proofErr w:type="spellEnd"/>
      <w:r w:rsidR="00652F60" w:rsidRPr="00513558">
        <w:rPr>
          <w:rFonts w:ascii="Times New Roman" w:hAnsi="Times New Roman" w:cs="Times New Roman"/>
          <w:sz w:val="24"/>
          <w:szCs w:val="24"/>
        </w:rPr>
        <w:t xml:space="preserve"> partnerskih sveučilišta, a koji je temelj svih daljnjih aktivnosti na projektu.</w:t>
      </w:r>
    </w:p>
    <w:p w14:paraId="30245518" w14:textId="77777777" w:rsidR="00652F60" w:rsidRDefault="00652F60" w:rsidP="00246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DA5B3" w14:textId="12D28A7A" w:rsidR="00C8608F" w:rsidRPr="005350D7" w:rsidRDefault="008E2285" w:rsidP="00246E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39A4">
        <w:rPr>
          <w:rFonts w:ascii="Times New Roman" w:hAnsi="Times New Roman" w:cs="Times New Roman"/>
          <w:sz w:val="24"/>
          <w:szCs w:val="24"/>
        </w:rPr>
        <w:t>Nositelj projekta</w:t>
      </w:r>
      <w:r>
        <w:rPr>
          <w:rFonts w:ascii="Times New Roman" w:hAnsi="Times New Roman" w:cs="Times New Roman"/>
          <w:sz w:val="24"/>
          <w:szCs w:val="24"/>
        </w:rPr>
        <w:t>/uplatitelj sredstava</w:t>
      </w:r>
      <w:r w:rsidRPr="008A39A4">
        <w:rPr>
          <w:rFonts w:ascii="Times New Roman" w:hAnsi="Times New Roman" w:cs="Times New Roman"/>
          <w:sz w:val="24"/>
          <w:szCs w:val="24"/>
        </w:rPr>
        <w:t>:</w:t>
      </w:r>
      <w:r w:rsidR="007501EE">
        <w:rPr>
          <w:rFonts w:ascii="Times New Roman" w:hAnsi="Times New Roman" w:cs="Times New Roman"/>
          <w:sz w:val="24"/>
          <w:szCs w:val="24"/>
        </w:rPr>
        <w:t xml:space="preserve"> </w:t>
      </w:r>
      <w:r w:rsidR="00C8608F" w:rsidRPr="005350D7">
        <w:rPr>
          <w:rFonts w:ascii="Times New Roman" w:hAnsi="Times New Roman" w:cs="Times New Roman"/>
          <w:sz w:val="24"/>
          <w:szCs w:val="24"/>
        </w:rPr>
        <w:t>Sveučilište „Bauhaus-</w:t>
      </w:r>
      <w:proofErr w:type="spellStart"/>
      <w:r w:rsidR="00C8608F" w:rsidRPr="005350D7">
        <w:rPr>
          <w:rFonts w:ascii="Times New Roman" w:hAnsi="Times New Roman" w:cs="Times New Roman"/>
          <w:sz w:val="24"/>
          <w:szCs w:val="24"/>
        </w:rPr>
        <w:t>Universit</w:t>
      </w:r>
      <w:r w:rsidR="00C8608F" w:rsidRPr="005350D7">
        <w:rPr>
          <w:rFonts w:ascii="Times New Roman" w:hAnsi="Times New Roman" w:cs="Times New Roman"/>
          <w:sz w:val="24"/>
          <w:szCs w:val="24"/>
          <w:lang w:val="de-DE"/>
        </w:rPr>
        <w:t>ät</w:t>
      </w:r>
      <w:proofErr w:type="spellEnd"/>
      <w:r w:rsidR="00C8608F" w:rsidRPr="005350D7">
        <w:rPr>
          <w:rFonts w:ascii="Times New Roman" w:hAnsi="Times New Roman" w:cs="Times New Roman"/>
          <w:sz w:val="24"/>
          <w:szCs w:val="24"/>
          <w:lang w:val="de-DE"/>
        </w:rPr>
        <w:t xml:space="preserve"> Weimar“</w:t>
      </w:r>
    </w:p>
    <w:p w14:paraId="54DA842A" w14:textId="77777777" w:rsidR="00C8608F" w:rsidRPr="005350D7" w:rsidRDefault="00C8608F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5350D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rajanje projekta: od 1.9.2024. do 31.8.2027. </w:t>
      </w:r>
    </w:p>
    <w:p w14:paraId="5E0D2BAE" w14:textId="22C6EB60" w:rsidR="00C8608F" w:rsidRPr="005350D7" w:rsidRDefault="00C8608F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5350D7">
        <w:rPr>
          <w:rFonts w:ascii="Times New Roman" w:hAnsi="Times New Roman" w:cs="Times New Roman"/>
          <w:sz w:val="24"/>
          <w:szCs w:val="24"/>
        </w:rPr>
        <w:t xml:space="preserve">Ukupna </w:t>
      </w:r>
      <w:r w:rsidR="00536CCD">
        <w:rPr>
          <w:rFonts w:ascii="Times New Roman" w:hAnsi="Times New Roman" w:cs="Times New Roman"/>
          <w:sz w:val="24"/>
          <w:szCs w:val="24"/>
        </w:rPr>
        <w:t xml:space="preserve">ugovorena </w:t>
      </w:r>
      <w:r w:rsidRPr="005350D7">
        <w:rPr>
          <w:rFonts w:ascii="Times New Roman" w:hAnsi="Times New Roman" w:cs="Times New Roman"/>
          <w:sz w:val="24"/>
          <w:szCs w:val="24"/>
        </w:rPr>
        <w:t xml:space="preserve">vrijednost projekta: </w:t>
      </w:r>
      <w:r w:rsidR="006D1C49">
        <w:rPr>
          <w:rFonts w:ascii="Times New Roman" w:hAnsi="Times New Roman" w:cs="Times New Roman"/>
          <w:sz w:val="24"/>
          <w:szCs w:val="24"/>
        </w:rPr>
        <w:t>400.000,00 eura.</w:t>
      </w:r>
    </w:p>
    <w:p w14:paraId="3A519CAF" w14:textId="107DF5D5" w:rsidR="00C8608F" w:rsidRPr="005350D7" w:rsidRDefault="00536CCD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lastRenderedPageBreak/>
        <w:t>Ukupna ugovorena vrijednost projekta za Fakultet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8608F" w:rsidRPr="005350D7">
        <w:rPr>
          <w:rFonts w:ascii="Times New Roman" w:hAnsi="Times New Roman" w:cs="Times New Roman"/>
          <w:sz w:val="24"/>
          <w:szCs w:val="24"/>
        </w:rPr>
        <w:t>49.</w:t>
      </w:r>
      <w:r w:rsidR="00652F60">
        <w:rPr>
          <w:rFonts w:ascii="Times New Roman" w:hAnsi="Times New Roman" w:cs="Times New Roman"/>
          <w:sz w:val="24"/>
          <w:szCs w:val="24"/>
        </w:rPr>
        <w:t>604,57</w:t>
      </w:r>
      <w:r w:rsidR="006D1C49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613ACDF" w14:textId="0096F030" w:rsidR="00C8608F" w:rsidRDefault="00C8608F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5350D7">
        <w:rPr>
          <w:rFonts w:ascii="Times New Roman" w:hAnsi="Times New Roman" w:cs="Times New Roman"/>
          <w:sz w:val="24"/>
          <w:szCs w:val="24"/>
        </w:rPr>
        <w:t>Dodijeljeni iznos bespovratnih sredstava: 49.5</w:t>
      </w:r>
      <w:r w:rsidR="006D1C49">
        <w:rPr>
          <w:rFonts w:ascii="Times New Roman" w:hAnsi="Times New Roman" w:cs="Times New Roman"/>
          <w:sz w:val="24"/>
          <w:szCs w:val="24"/>
        </w:rPr>
        <w:t>00,00 eura.</w:t>
      </w:r>
    </w:p>
    <w:p w14:paraId="7A53E7CD" w14:textId="02ACD266" w:rsidR="00900872" w:rsidRPr="00900872" w:rsidRDefault="00900872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900872">
        <w:rPr>
          <w:rFonts w:ascii="Times New Roman" w:hAnsi="Times New Roman" w:cs="Times New Roman"/>
          <w:sz w:val="24"/>
          <w:szCs w:val="24"/>
        </w:rPr>
        <w:t>U 2025. godini ukupno su planirana sredstva u iznosu od</w:t>
      </w:r>
      <w:r w:rsidRPr="00900872">
        <w:rPr>
          <w:rFonts w:ascii="Times New Roman" w:hAnsi="Times New Roman" w:cs="Times New Roman"/>
          <w:sz w:val="24"/>
          <w:szCs w:val="24"/>
        </w:rPr>
        <w:tab/>
        <w:t>2</w:t>
      </w:r>
      <w:r w:rsidR="001D238F">
        <w:rPr>
          <w:rFonts w:ascii="Times New Roman" w:hAnsi="Times New Roman" w:cs="Times New Roman"/>
          <w:sz w:val="24"/>
          <w:szCs w:val="24"/>
        </w:rPr>
        <w:t>9.500,00</w:t>
      </w:r>
      <w:r w:rsidRPr="00900872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308D5E98" w14:textId="412395B7" w:rsidR="00C7457A" w:rsidRPr="002C3A8A" w:rsidRDefault="00EF5962" w:rsidP="0003665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56A7C">
        <w:rPr>
          <w:rFonts w:ascii="Times New Roman" w:hAnsi="Times New Roman" w:cs="Times New Roman"/>
          <w:sz w:val="24"/>
          <w:szCs w:val="24"/>
        </w:rPr>
        <w:t>Aktivnosti projekta u 2025. godini:</w:t>
      </w:r>
      <w:r w:rsidR="00036659">
        <w:rPr>
          <w:rFonts w:ascii="Times New Roman" w:hAnsi="Times New Roman" w:cs="Times New Roman"/>
          <w:sz w:val="24"/>
          <w:szCs w:val="24"/>
        </w:rPr>
        <w:t xml:space="preserve"> </w:t>
      </w:r>
      <w:r w:rsidR="00C7457A" w:rsidRPr="002C3A8A">
        <w:rPr>
          <w:rFonts w:ascii="Times New Roman" w:hAnsi="Times New Roman" w:cs="Times New Roman"/>
          <w:sz w:val="24"/>
          <w:szCs w:val="24"/>
        </w:rPr>
        <w:t>Navedeni iznos troškova odnosi se na provođenje sljedećih  aktivnosti projekta:</w:t>
      </w:r>
    </w:p>
    <w:p w14:paraId="3A72BEBE" w14:textId="7F60924A" w:rsidR="00C7457A" w:rsidRPr="00F77F98" w:rsidRDefault="00C7457A" w:rsidP="00EF5962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F98">
        <w:rPr>
          <w:rFonts w:ascii="Times New Roman" w:hAnsi="Times New Roman" w:cs="Times New Roman"/>
          <w:sz w:val="24"/>
          <w:szCs w:val="24"/>
        </w:rPr>
        <w:t xml:space="preserve">Radni paket br. 1: Upravljanje projektom (praćenje napretka, kontrole kvalitete i postignuća unutar projekta): </w:t>
      </w:r>
    </w:p>
    <w:p w14:paraId="5F0C55FA" w14:textId="77777777" w:rsidR="00C7457A" w:rsidRPr="00F77F98" w:rsidRDefault="00C7457A" w:rsidP="00246E6D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F98">
        <w:rPr>
          <w:rFonts w:ascii="Times New Roman" w:hAnsi="Times New Roman" w:cs="Times New Roman"/>
          <w:sz w:val="24"/>
          <w:szCs w:val="24"/>
        </w:rPr>
        <w:t>Radni paket br. 2: Osmišljavanje i razvoj kolegija (osmišljavanje i razvoj kurikuluma i ishoda učenja usmjerenih na obrazovanje kroz korištenje raznih stvarnih slučajeva i pristupa temeljenog na dokazima i rješavanju problema):</w:t>
      </w:r>
    </w:p>
    <w:p w14:paraId="774B3CF8" w14:textId="77A50005" w:rsidR="00C7457A" w:rsidRPr="00F77F98" w:rsidRDefault="00C7457A" w:rsidP="007501EE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F98">
        <w:rPr>
          <w:rFonts w:ascii="Times New Roman" w:hAnsi="Times New Roman" w:cs="Times New Roman"/>
          <w:sz w:val="24"/>
          <w:szCs w:val="24"/>
        </w:rPr>
        <w:t xml:space="preserve">Aktivnost 1: Razvoj upitnika i provođenje ankete </w:t>
      </w:r>
    </w:p>
    <w:p w14:paraId="1C6EFE8A" w14:textId="01C77A0D" w:rsidR="00C7457A" w:rsidRPr="00F77F98" w:rsidRDefault="00C7457A" w:rsidP="007501EE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F98">
        <w:rPr>
          <w:rFonts w:ascii="Times New Roman" w:hAnsi="Times New Roman" w:cs="Times New Roman"/>
          <w:sz w:val="24"/>
          <w:szCs w:val="24"/>
        </w:rPr>
        <w:t xml:space="preserve">Aktivnost 2: Radionica I </w:t>
      </w:r>
    </w:p>
    <w:p w14:paraId="6927C521" w14:textId="77777777" w:rsidR="00C7457A" w:rsidRPr="00FA59BD" w:rsidRDefault="00C7457A" w:rsidP="00246E6D">
      <w:pPr>
        <w:pStyle w:val="Odlomakpopis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9BD">
        <w:rPr>
          <w:rFonts w:ascii="Times New Roman" w:hAnsi="Times New Roman" w:cs="Times New Roman"/>
          <w:sz w:val="24"/>
          <w:szCs w:val="24"/>
        </w:rPr>
        <w:t>Radni paket br. 3: Ogledni primjeri (razvijanje alata za obuku polaznika u zahtjevnim zadacima forenzičke analize oštećenja konstrukcija uzrokovanih izvanrednim djelovanjima):</w:t>
      </w:r>
    </w:p>
    <w:p w14:paraId="35C26A64" w14:textId="746DAC51" w:rsidR="00C7457A" w:rsidRPr="00FA59BD" w:rsidRDefault="00C7457A" w:rsidP="00EF5962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9BD">
        <w:rPr>
          <w:rFonts w:ascii="Times New Roman" w:hAnsi="Times New Roman" w:cs="Times New Roman"/>
          <w:sz w:val="24"/>
          <w:szCs w:val="24"/>
        </w:rPr>
        <w:t xml:space="preserve">Aktivnost 3: Oblikovanje u </w:t>
      </w:r>
      <w:proofErr w:type="spellStart"/>
      <w:r w:rsidRPr="00FA59BD">
        <w:rPr>
          <w:rFonts w:ascii="Times New Roman" w:hAnsi="Times New Roman" w:cs="Times New Roman"/>
          <w:sz w:val="24"/>
          <w:szCs w:val="24"/>
        </w:rPr>
        <w:t>Escape</w:t>
      </w:r>
      <w:proofErr w:type="spellEnd"/>
      <w:r w:rsidRPr="00FA59BD">
        <w:rPr>
          <w:rFonts w:ascii="Times New Roman" w:hAnsi="Times New Roman" w:cs="Times New Roman"/>
          <w:sz w:val="24"/>
          <w:szCs w:val="24"/>
        </w:rPr>
        <w:t xml:space="preserve"> Room sučelje</w:t>
      </w:r>
    </w:p>
    <w:p w14:paraId="7E784B47" w14:textId="2EF3E2BC" w:rsidR="00C7457A" w:rsidRPr="00FA59BD" w:rsidRDefault="00C7457A" w:rsidP="00EF5962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9BD">
        <w:rPr>
          <w:rFonts w:ascii="Times New Roman" w:hAnsi="Times New Roman" w:cs="Times New Roman"/>
          <w:sz w:val="24"/>
          <w:szCs w:val="24"/>
        </w:rPr>
        <w:t>Aktivnost 4: Radionica II</w:t>
      </w:r>
    </w:p>
    <w:p w14:paraId="7B380714" w14:textId="77777777" w:rsidR="00EE156E" w:rsidRDefault="00EE156E" w:rsidP="00246E6D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653996F2" w14:textId="77777777" w:rsidR="00823ED5" w:rsidRDefault="00823ED5" w:rsidP="00246E6D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343ABF2E" w14:textId="77777777" w:rsidR="00036659" w:rsidRDefault="00036659" w:rsidP="00246E6D">
      <w:pPr>
        <w:tabs>
          <w:tab w:val="left" w:pos="246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3A7A31" w14:textId="06611297" w:rsidR="00B54C28" w:rsidRPr="00B54C28" w:rsidRDefault="00604D4E" w:rsidP="00246E6D">
      <w:pPr>
        <w:pBdr>
          <w:top w:val="dotted" w:sz="4" w:space="1" w:color="808080"/>
          <w:bottom w:val="dotted" w:sz="4" w:space="1" w:color="808080"/>
        </w:pBdr>
        <w:shd w:val="clear" w:color="auto" w:fill="D9D9D9" w:themeFill="background1" w:themeFillShade="D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B54C28" w:rsidRPr="00B54C28">
        <w:rPr>
          <w:rFonts w:ascii="Times New Roman" w:eastAsia="Calibri" w:hAnsi="Times New Roman" w:cs="Times New Roman"/>
          <w:b/>
          <w:sz w:val="24"/>
          <w:szCs w:val="24"/>
        </w:rPr>
        <w:t xml:space="preserve">679071.005 </w:t>
      </w:r>
      <w:r w:rsidR="00B54C28" w:rsidRPr="00B54C28">
        <w:rPr>
          <w:rFonts w:ascii="Times New Roman" w:hAnsi="Times New Roman" w:cs="Times New Roman"/>
          <w:b/>
          <w:sz w:val="24"/>
          <w:szCs w:val="24"/>
        </w:rPr>
        <w:t>ERASMUS+ projekt individualne mobilnosti nastavnog i nenastavnog osoblja kroz boravak na inozemnim ustanovama</w:t>
      </w:r>
    </w:p>
    <w:p w14:paraId="216E70AF" w14:textId="77777777" w:rsidR="00B54C28" w:rsidRPr="00F0046C" w:rsidRDefault="00B54C28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F0046C">
        <w:rPr>
          <w:rFonts w:ascii="Times New Roman" w:hAnsi="Times New Roman" w:cs="Times New Roman"/>
          <w:sz w:val="24"/>
          <w:szCs w:val="24"/>
        </w:rPr>
        <w:t>Glavni cilj je programa je podupirati obrazovni, profesionalni i osobni razvoj ljudi u području obrazovanja, osposobljavanja u Europi i šire, što doprinosi održivom rastu, kvaliteti radnih mjesta, socijalnoj koheziji, poticanju inovacija te jačanju europskog identiteta i aktivnog građanstva. N</w:t>
      </w:r>
      <w:r w:rsidRPr="00F0046C">
        <w:rPr>
          <w:rFonts w:ascii="Times New Roman" w:hAnsi="Times New Roman" w:cs="Times New Roman"/>
          <w:noProof/>
          <w:sz w:val="24"/>
          <w:szCs w:val="24"/>
        </w:rPr>
        <w:t>avedeni iznosi su planirani u financijskom planu sukladno primljenom prijenosu sredstvava Sveučilišta Josipa Jurja Strossmayera, odnosno prijavama na program mobilnosti, a temeljem Ugovora o međufakutetskoj suradnji Agencije za znanost i visoko obrazovanje i Erasmus+ program mobilnosti.</w:t>
      </w:r>
    </w:p>
    <w:p w14:paraId="24E5BCF9" w14:textId="77777777" w:rsidR="00B54C28" w:rsidRPr="006E0660" w:rsidRDefault="00B54C28" w:rsidP="00246E6D">
      <w:pPr>
        <w:spacing w:before="240"/>
        <w:jc w:val="both"/>
        <w:rPr>
          <w:color w:val="FF0000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823ED5" w:rsidRPr="00884256" w14:paraId="282DD5EB" w14:textId="77777777" w:rsidTr="00823ED5">
        <w:trPr>
          <w:trHeight w:val="483"/>
          <w:jc w:val="center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41EEAA81" w14:textId="22A5EFB3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9C02482" w14:textId="603A9795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Plan 2025.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8DADB7E" w14:textId="77777777" w:rsidR="00823ED5" w:rsidRPr="009E443D" w:rsidRDefault="00823ED5" w:rsidP="00FA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Povećanje/</w:t>
            </w:r>
          </w:p>
          <w:p w14:paraId="1A259030" w14:textId="6F232898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smanjenje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95D37AE" w14:textId="51E340C8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Novi plan 2025.</w:t>
            </w:r>
          </w:p>
        </w:tc>
      </w:tr>
      <w:tr w:rsidR="00B54C28" w:rsidRPr="00884256" w14:paraId="5E11E568" w14:textId="77777777" w:rsidTr="00310DD7">
        <w:trPr>
          <w:jc w:val="center"/>
        </w:trPr>
        <w:tc>
          <w:tcPr>
            <w:tcW w:w="3402" w:type="dxa"/>
            <w:vAlign w:val="bottom"/>
          </w:tcPr>
          <w:p w14:paraId="1A66E852" w14:textId="77777777" w:rsidR="00310DD7" w:rsidRDefault="00310DD7" w:rsidP="00310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746BB2" w14:textId="51F35D03" w:rsidR="00B54C28" w:rsidRPr="002A5E6A" w:rsidRDefault="00604D4E" w:rsidP="00BA3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54C28" w:rsidRPr="002A5E6A">
              <w:rPr>
                <w:rFonts w:ascii="Times New Roman" w:hAnsi="Times New Roman" w:cs="Times New Roman"/>
              </w:rPr>
              <w:t>679071.005</w:t>
            </w:r>
          </w:p>
          <w:p w14:paraId="6A543E8A" w14:textId="24D55E1F" w:rsidR="00B54C28" w:rsidRPr="002A5E6A" w:rsidRDefault="00B54C28" w:rsidP="00310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3CF01AC9" w14:textId="718D7F8F" w:rsidR="00B54C28" w:rsidRPr="002A5E6A" w:rsidRDefault="003E629F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bottom"/>
          </w:tcPr>
          <w:p w14:paraId="6240707A" w14:textId="77777777" w:rsidR="00B54C28" w:rsidRPr="002A5E6A" w:rsidRDefault="00B54C28" w:rsidP="00FA302F">
            <w:pPr>
              <w:jc w:val="right"/>
              <w:rPr>
                <w:rFonts w:ascii="Times New Roman" w:hAnsi="Times New Roman" w:cs="Times New Roman"/>
              </w:rPr>
            </w:pPr>
            <w:r w:rsidRPr="002A5E6A">
              <w:rPr>
                <w:rFonts w:ascii="Times New Roman" w:hAnsi="Times New Roman" w:cs="Times New Roman"/>
              </w:rPr>
              <w:t>13.034,00</w:t>
            </w:r>
          </w:p>
        </w:tc>
        <w:tc>
          <w:tcPr>
            <w:tcW w:w="1701" w:type="dxa"/>
            <w:vAlign w:val="bottom"/>
          </w:tcPr>
          <w:p w14:paraId="5D27E1E5" w14:textId="77777777" w:rsidR="00B54C28" w:rsidRPr="002A5E6A" w:rsidRDefault="00B54C28" w:rsidP="00FA302F">
            <w:pPr>
              <w:jc w:val="right"/>
              <w:rPr>
                <w:rFonts w:ascii="Times New Roman" w:hAnsi="Times New Roman" w:cs="Times New Roman"/>
              </w:rPr>
            </w:pPr>
            <w:r w:rsidRPr="002A5E6A">
              <w:rPr>
                <w:rFonts w:ascii="Times New Roman" w:hAnsi="Times New Roman" w:cs="Times New Roman"/>
              </w:rPr>
              <w:t>13.034,00</w:t>
            </w:r>
          </w:p>
        </w:tc>
      </w:tr>
    </w:tbl>
    <w:p w14:paraId="54F60CCF" w14:textId="148A0AAB" w:rsidR="00B54C28" w:rsidRDefault="00B54C28" w:rsidP="00246E6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02883F" w14:textId="77777777" w:rsidR="006F2DE4" w:rsidRDefault="006F2DE4" w:rsidP="00246E6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E56430D" w14:textId="77777777" w:rsidR="00B54C28" w:rsidRPr="00E81B25" w:rsidRDefault="00B54C28" w:rsidP="00246E6D">
      <w:pPr>
        <w:shd w:val="clear" w:color="auto" w:fill="D9D9D9" w:themeFill="background1" w:themeFillShade="D9"/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2573325"/>
      <w:bookmarkStart w:id="3" w:name="_Hlk152572845"/>
      <w:r w:rsidRPr="00E81B25">
        <w:rPr>
          <w:rFonts w:ascii="Times New Roman" w:hAnsi="Times New Roman" w:cs="Times New Roman"/>
          <w:b/>
          <w:sz w:val="24"/>
          <w:szCs w:val="24"/>
        </w:rPr>
        <w:lastRenderedPageBreak/>
        <w:t>A679071.087</w:t>
      </w:r>
      <w:bookmarkEnd w:id="2"/>
      <w:r w:rsidRPr="00E81B25">
        <w:rPr>
          <w:rFonts w:ascii="Times New Roman" w:hAnsi="Times New Roman" w:cs="Times New Roman"/>
          <w:b/>
          <w:sz w:val="24"/>
          <w:szCs w:val="24"/>
        </w:rPr>
        <w:t xml:space="preserve"> Sinergija primjene inteligentnih metoda u procjeni ponašanja zgrada, elemenata i materijala i inovativna uporaba recikliranih građevinskih materijala zasnovana na eksperimentalnim i novim pristupima za uspostavu održivog životnog prostora - IM4StEM (pr. broj: 2023-1-HR01-KA220-HED-000165929)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823ED5" w:rsidRPr="002A5E6A" w14:paraId="1219CCBC" w14:textId="77777777" w:rsidTr="00CF2BC5">
        <w:trPr>
          <w:trHeight w:val="483"/>
          <w:jc w:val="center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010DEFCA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EB4BC0D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Plan 2025.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69F03E2" w14:textId="77777777" w:rsidR="00823ED5" w:rsidRPr="009E443D" w:rsidRDefault="00823ED5" w:rsidP="00FA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Povećanje/</w:t>
            </w:r>
          </w:p>
          <w:p w14:paraId="5D64CD2E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smanjenje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F203839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Novi plan 2025.</w:t>
            </w:r>
          </w:p>
        </w:tc>
      </w:tr>
      <w:tr w:rsidR="00823ED5" w:rsidRPr="002A5E6A" w14:paraId="3673D0A4" w14:textId="77777777" w:rsidTr="00BA3A1E">
        <w:trPr>
          <w:trHeight w:val="662"/>
          <w:jc w:val="center"/>
        </w:trPr>
        <w:tc>
          <w:tcPr>
            <w:tcW w:w="3402" w:type="dxa"/>
            <w:vAlign w:val="center"/>
          </w:tcPr>
          <w:p w14:paraId="001D2B0E" w14:textId="4CAA78C0" w:rsidR="00823ED5" w:rsidRPr="002A5E6A" w:rsidRDefault="00823ED5" w:rsidP="00BA3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6A">
              <w:rPr>
                <w:rFonts w:ascii="Times New Roman" w:hAnsi="Times New Roman" w:cs="Times New Roman"/>
              </w:rPr>
              <w:t>A679071</w:t>
            </w:r>
            <w:r>
              <w:rPr>
                <w:rFonts w:ascii="Times New Roman" w:hAnsi="Times New Roman" w:cs="Times New Roman"/>
              </w:rPr>
              <w:t>.087</w:t>
            </w:r>
          </w:p>
        </w:tc>
        <w:tc>
          <w:tcPr>
            <w:tcW w:w="1701" w:type="dxa"/>
            <w:vAlign w:val="bottom"/>
          </w:tcPr>
          <w:p w14:paraId="7A096006" w14:textId="711B9FAE" w:rsidR="00823ED5" w:rsidRPr="002A5E6A" w:rsidRDefault="00310DD7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43.837,00</w:t>
            </w:r>
          </w:p>
        </w:tc>
        <w:tc>
          <w:tcPr>
            <w:tcW w:w="1701" w:type="dxa"/>
            <w:vAlign w:val="bottom"/>
          </w:tcPr>
          <w:p w14:paraId="54B5AFE6" w14:textId="639C9C96" w:rsidR="00823ED5" w:rsidRPr="002A5E6A" w:rsidRDefault="00D92FFE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79.347</w:t>
            </w:r>
            <w:r w:rsidR="00310DD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vAlign w:val="bottom"/>
          </w:tcPr>
          <w:p w14:paraId="5929DF99" w14:textId="1594A813" w:rsidR="00823ED5" w:rsidRPr="002A5E6A" w:rsidRDefault="00310DD7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2FFE">
              <w:rPr>
                <w:rFonts w:ascii="Times New Roman" w:hAnsi="Times New Roman" w:cs="Times New Roman"/>
              </w:rPr>
              <w:t>23.184,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</w:tbl>
    <w:p w14:paraId="4BF7EB62" w14:textId="77777777" w:rsidR="00823ED5" w:rsidRDefault="00823ED5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575277" w14:textId="2A319A44" w:rsidR="00B54C28" w:rsidRPr="00E81B25" w:rsidRDefault="00B54C28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>Naziv projekta: Sinergija primjene inteligentnih metoda u procjeni ponašanja zgrada, elemenata i materijala i inovativna uporaba recikliranih građevinskih materijala zasnovana na eksperimentalnim i novim pristupima za uspostavu održivog životnog prostora - IM4StEM</w:t>
      </w:r>
    </w:p>
    <w:p w14:paraId="07038C1B" w14:textId="37CA66F0" w:rsidR="00B54C28" w:rsidRDefault="00B54C28" w:rsidP="00EE156E">
      <w:pPr>
        <w:tabs>
          <w:tab w:val="left" w:pos="24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 xml:space="preserve">Opis projekta: Jedan od rezultata projekta je svima dostupna web platforma s online bazom podataka o stanju zgrada, elemenata i materijala, koja će imati dovoljno veliku količinu podataka na kojoj će se moći primijeniti metode strojnog učenja (ML). Prikupljanje podataka provodit će se iz literature, ali i </w:t>
      </w:r>
      <w:proofErr w:type="spellStart"/>
      <w:r w:rsidRPr="00E81B2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81B25">
        <w:rPr>
          <w:rFonts w:ascii="Times New Roman" w:hAnsi="Times New Roman" w:cs="Times New Roman"/>
          <w:sz w:val="24"/>
          <w:szCs w:val="24"/>
        </w:rPr>
        <w:t xml:space="preserve"> situ u zemljama konzorcija pogođenima nedavnim potresom. Podatke će </w:t>
      </w:r>
      <w:proofErr w:type="spellStart"/>
      <w:r w:rsidRPr="00E81B2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81B25">
        <w:rPr>
          <w:rFonts w:ascii="Times New Roman" w:hAnsi="Times New Roman" w:cs="Times New Roman"/>
          <w:sz w:val="24"/>
          <w:szCs w:val="24"/>
        </w:rPr>
        <w:t xml:space="preserve"> situ prikupljati studenti i nastavno osoblje primjenom digitalnih alata, odnosno primjenom GIS karata i aplikacije za unos parametara neophodnih za analize podataka, a koje će se izraditi u sklopu projekta te koje će studenti i osoblje moći instalirati na svoje mobitele. Analiza podataka iz baze primjenom </w:t>
      </w:r>
      <w:proofErr w:type="spellStart"/>
      <w:r w:rsidRPr="00E81B25">
        <w:rPr>
          <w:rFonts w:ascii="Times New Roman" w:hAnsi="Times New Roman" w:cs="Times New Roman"/>
          <w:sz w:val="24"/>
          <w:szCs w:val="24"/>
        </w:rPr>
        <w:t>predikcijskih</w:t>
      </w:r>
      <w:proofErr w:type="spellEnd"/>
      <w:r w:rsidRPr="00E81B25">
        <w:rPr>
          <w:rFonts w:ascii="Times New Roman" w:hAnsi="Times New Roman" w:cs="Times New Roman"/>
          <w:sz w:val="24"/>
          <w:szCs w:val="24"/>
        </w:rPr>
        <w:t xml:space="preserve"> metoda rezultirat će izrađenim modulima za predikciju oštećenja zgrada, a primjenom metoda strojnog učenja nosivosti elemenata zgrada (zidova i/ili stupova) i čvrstoće materijala te procjenom potresne </w:t>
      </w:r>
      <w:proofErr w:type="spellStart"/>
      <w:r w:rsidRPr="00E81B25">
        <w:rPr>
          <w:rFonts w:ascii="Times New Roman" w:hAnsi="Times New Roman" w:cs="Times New Roman"/>
          <w:sz w:val="24"/>
          <w:szCs w:val="24"/>
        </w:rPr>
        <w:t>oštetljivosti</w:t>
      </w:r>
      <w:proofErr w:type="spellEnd"/>
      <w:r w:rsidRPr="00E81B25">
        <w:rPr>
          <w:rFonts w:ascii="Times New Roman" w:hAnsi="Times New Roman" w:cs="Times New Roman"/>
          <w:sz w:val="24"/>
          <w:szCs w:val="24"/>
        </w:rPr>
        <w:t xml:space="preserve"> i procjenom potresnog rizika. U sklopu projekta provest će se i ispitivanja novih recikliranih građevnih materijala - </w:t>
      </w:r>
      <w:proofErr w:type="spellStart"/>
      <w:r w:rsidRPr="00E81B25">
        <w:rPr>
          <w:rFonts w:ascii="Times New Roman" w:hAnsi="Times New Roman" w:cs="Times New Roman"/>
          <w:sz w:val="24"/>
          <w:szCs w:val="24"/>
        </w:rPr>
        <w:t>biomorta</w:t>
      </w:r>
      <w:proofErr w:type="spellEnd"/>
      <w:r w:rsidRPr="00E81B25">
        <w:rPr>
          <w:rFonts w:ascii="Times New Roman" w:hAnsi="Times New Roman" w:cs="Times New Roman"/>
          <w:sz w:val="24"/>
          <w:szCs w:val="24"/>
        </w:rPr>
        <w:t xml:space="preserve"> za koji će se koristiti otpadni pepeo iz biomase te reciklirane opeke iz </w:t>
      </w:r>
      <w:proofErr w:type="spellStart"/>
      <w:r w:rsidRPr="00E81B25">
        <w:rPr>
          <w:rFonts w:ascii="Times New Roman" w:hAnsi="Times New Roman" w:cs="Times New Roman"/>
          <w:sz w:val="24"/>
          <w:szCs w:val="24"/>
        </w:rPr>
        <w:t>građ</w:t>
      </w:r>
      <w:proofErr w:type="spellEnd"/>
      <w:r w:rsidRPr="00E81B25">
        <w:rPr>
          <w:rFonts w:ascii="Times New Roman" w:hAnsi="Times New Roman" w:cs="Times New Roman"/>
          <w:sz w:val="24"/>
          <w:szCs w:val="24"/>
        </w:rPr>
        <w:t>. otpada od potresa u Petrinji.</w:t>
      </w:r>
    </w:p>
    <w:p w14:paraId="2A812738" w14:textId="77777777" w:rsidR="00EE156E" w:rsidRPr="00E81B25" w:rsidRDefault="00EE156E" w:rsidP="00EE156E">
      <w:pPr>
        <w:tabs>
          <w:tab w:val="left" w:pos="24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2985D" w14:textId="3C16B107" w:rsidR="00B54C28" w:rsidRPr="00E81B25" w:rsidRDefault="008E2285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9A4">
        <w:rPr>
          <w:rFonts w:ascii="Times New Roman" w:hAnsi="Times New Roman" w:cs="Times New Roman"/>
          <w:sz w:val="24"/>
          <w:szCs w:val="24"/>
        </w:rPr>
        <w:t>Nositelj projekta</w:t>
      </w:r>
      <w:r>
        <w:rPr>
          <w:rFonts w:ascii="Times New Roman" w:hAnsi="Times New Roman" w:cs="Times New Roman"/>
          <w:sz w:val="24"/>
          <w:szCs w:val="24"/>
        </w:rPr>
        <w:t>/uplatitelj sredstava</w:t>
      </w:r>
      <w:r w:rsidRPr="008A39A4">
        <w:rPr>
          <w:rFonts w:ascii="Times New Roman" w:hAnsi="Times New Roman" w:cs="Times New Roman"/>
          <w:sz w:val="24"/>
          <w:szCs w:val="24"/>
        </w:rPr>
        <w:t xml:space="preserve">: </w:t>
      </w:r>
      <w:r w:rsidR="00B54C28" w:rsidRPr="00E81B25">
        <w:rPr>
          <w:rFonts w:ascii="Times New Roman" w:hAnsi="Times New Roman" w:cs="Times New Roman"/>
          <w:sz w:val="24"/>
          <w:szCs w:val="24"/>
        </w:rPr>
        <w:t>Sveučilište Josipa Jurja Strossmayera u Osijeku. Sveučilište Josipa Jurja Strossmayera u Osijeku će doznačivati sredstva Građevinskom i arhitektonskom fakultetu Osijek. Građevinski i arhitektonski fakultet Osijek je ispred Sveučilišta Josipa Jurja Strossmayera u Osijeku</w:t>
      </w:r>
      <w:r w:rsidR="00B54C28" w:rsidRPr="00E81B25">
        <w:rPr>
          <w:rFonts w:ascii="Times New Roman" w:hAnsi="Times New Roman" w:cs="Times New Roman"/>
          <w:bCs/>
          <w:sz w:val="24"/>
          <w:szCs w:val="24"/>
        </w:rPr>
        <w:t xml:space="preserve"> koordinator projekta  "IM4StEM", koji je odabran za financiranje u sklopu programa </w:t>
      </w:r>
      <w:proofErr w:type="spellStart"/>
      <w:r w:rsidR="00B54C28" w:rsidRPr="00E81B25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B54C28" w:rsidRPr="00E81B25">
        <w:rPr>
          <w:rFonts w:ascii="Times New Roman" w:hAnsi="Times New Roman" w:cs="Times New Roman"/>
          <w:sz w:val="24"/>
          <w:szCs w:val="24"/>
        </w:rPr>
        <w:t>+ za 2023. g. za Ključnu aktivnost 2 u području visokog obrazovanja.</w:t>
      </w:r>
    </w:p>
    <w:p w14:paraId="003BF63D" w14:textId="77777777" w:rsidR="00B54C28" w:rsidRPr="00E81B25" w:rsidRDefault="00B54C28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>Trajanje projekta je od 1.9. 2023. do 31.8.2026.</w:t>
      </w:r>
    </w:p>
    <w:p w14:paraId="17623C75" w14:textId="3F427C5C" w:rsidR="00B54C28" w:rsidRPr="00E81B25" w:rsidRDefault="00B54C28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>Ukupna ugovorena vrijednost projekta: 501.400,00 eura</w:t>
      </w:r>
      <w:r w:rsidR="009436DA">
        <w:rPr>
          <w:rFonts w:ascii="Times New Roman" w:hAnsi="Times New Roman" w:cs="Times New Roman"/>
          <w:sz w:val="24"/>
          <w:szCs w:val="24"/>
        </w:rPr>
        <w:t>.</w:t>
      </w:r>
    </w:p>
    <w:p w14:paraId="2EB6141F" w14:textId="77777777" w:rsidR="00B54C28" w:rsidRPr="00E81B25" w:rsidRDefault="00B54C28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>Ukupna ugovorena vrijednost projekta za Fakultet je: 95.017,20 eura.</w:t>
      </w:r>
    </w:p>
    <w:p w14:paraId="1A2EB346" w14:textId="77777777" w:rsidR="00B54C28" w:rsidRPr="00E81B25" w:rsidRDefault="00B54C28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 xml:space="preserve">Dodijeljeni iznos bespovratnih sredstava: </w:t>
      </w:r>
      <w:r w:rsidRPr="00E81B25">
        <w:rPr>
          <w:rFonts w:ascii="Times New Roman" w:hAnsi="Times New Roman" w:cs="Times New Roman"/>
          <w:bCs/>
          <w:sz w:val="24"/>
          <w:szCs w:val="24"/>
        </w:rPr>
        <w:t xml:space="preserve"> 400.000,00 eura.</w:t>
      </w:r>
    </w:p>
    <w:bookmarkEnd w:id="3"/>
    <w:p w14:paraId="0CA05176" w14:textId="7B4BC38F" w:rsidR="00B54C28" w:rsidRPr="00E81B25" w:rsidRDefault="00B54C28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 xml:space="preserve">U 2025. godini ukupno su planirana sredstva u iznosu </w:t>
      </w:r>
      <w:r w:rsidRPr="00E81B25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Pr="00E81B25">
        <w:rPr>
          <w:rFonts w:ascii="Times New Roman" w:hAnsi="Times New Roman" w:cs="Times New Roman"/>
          <w:sz w:val="24"/>
          <w:szCs w:val="24"/>
        </w:rPr>
        <w:t>1</w:t>
      </w:r>
      <w:r w:rsidR="005A0AF3">
        <w:rPr>
          <w:rFonts w:ascii="Times New Roman" w:hAnsi="Times New Roman" w:cs="Times New Roman"/>
          <w:sz w:val="24"/>
          <w:szCs w:val="24"/>
        </w:rPr>
        <w:t>23.184</w:t>
      </w:r>
      <w:r w:rsidR="001D238F">
        <w:rPr>
          <w:rFonts w:ascii="Times New Roman" w:hAnsi="Times New Roman" w:cs="Times New Roman"/>
          <w:sz w:val="24"/>
          <w:szCs w:val="24"/>
        </w:rPr>
        <w:t>,00</w:t>
      </w:r>
      <w:r w:rsidRPr="00E81B25">
        <w:rPr>
          <w:rFonts w:ascii="Times New Roman" w:hAnsi="Times New Roman" w:cs="Times New Roman"/>
          <w:sz w:val="24"/>
          <w:szCs w:val="24"/>
        </w:rPr>
        <w:t xml:space="preserve"> </w:t>
      </w:r>
      <w:r w:rsidRPr="00E81B25">
        <w:rPr>
          <w:rFonts w:ascii="Times New Roman" w:hAnsi="Times New Roman" w:cs="Times New Roman"/>
          <w:bCs/>
          <w:sz w:val="24"/>
          <w:szCs w:val="24"/>
        </w:rPr>
        <w:t>eura.</w:t>
      </w:r>
    </w:p>
    <w:p w14:paraId="7D61C4D9" w14:textId="77777777" w:rsidR="00B54C28" w:rsidRPr="00E81B25" w:rsidRDefault="00B54C28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>Aktivnosti projekta u 2025. godini:</w:t>
      </w:r>
    </w:p>
    <w:p w14:paraId="2AC9C6BF" w14:textId="77777777" w:rsidR="00B54C28" w:rsidRPr="00E81B25" w:rsidRDefault="00B54C28" w:rsidP="00246E6D">
      <w:pPr>
        <w:numPr>
          <w:ilvl w:val="0"/>
          <w:numId w:val="27"/>
        </w:num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lastRenderedPageBreak/>
        <w:t xml:space="preserve">Prijenosi sredstava partnerima na projektu </w:t>
      </w:r>
    </w:p>
    <w:p w14:paraId="19DA686D" w14:textId="77777777" w:rsidR="00B54C28" w:rsidRPr="00E81B25" w:rsidRDefault="00B54C28" w:rsidP="00246E6D">
      <w:pPr>
        <w:numPr>
          <w:ilvl w:val="0"/>
          <w:numId w:val="27"/>
        </w:num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>Project Management</w:t>
      </w:r>
    </w:p>
    <w:p w14:paraId="6AE4EBAC" w14:textId="77777777" w:rsidR="00B54C28" w:rsidRPr="00E81B25" w:rsidRDefault="00B54C28" w:rsidP="00246E6D">
      <w:pPr>
        <w:numPr>
          <w:ilvl w:val="0"/>
          <w:numId w:val="27"/>
        </w:num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>Internacionalizacija istraživanja i obrazovnih procesa digitalizacijom u visokom obrazovanju</w:t>
      </w:r>
    </w:p>
    <w:p w14:paraId="6B3209A9" w14:textId="77777777" w:rsidR="00B54C28" w:rsidRPr="00E81B25" w:rsidRDefault="00B54C28" w:rsidP="00246E6D">
      <w:pPr>
        <w:numPr>
          <w:ilvl w:val="0"/>
          <w:numId w:val="27"/>
        </w:num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>Integracija STEM disciplina u znanstvenom i obrazovnom radu kroz primjenu metoda umjetne inteligencije u građevinarstvu</w:t>
      </w:r>
    </w:p>
    <w:p w14:paraId="79A9930D" w14:textId="77777777" w:rsidR="00B54C28" w:rsidRPr="00E81B25" w:rsidRDefault="00B54C28" w:rsidP="00246E6D">
      <w:pPr>
        <w:numPr>
          <w:ilvl w:val="0"/>
          <w:numId w:val="27"/>
        </w:num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>Inovativnost u prevenciji, odlaganju i oporabi građevinskog otpada</w:t>
      </w:r>
    </w:p>
    <w:p w14:paraId="20882E52" w14:textId="77777777" w:rsidR="00BC53C0" w:rsidRDefault="00BC53C0" w:rsidP="00246E6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FE1EC4" w14:textId="06604295" w:rsidR="00B54C28" w:rsidRPr="00B54C28" w:rsidRDefault="00B54C28" w:rsidP="00246E6D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B54C28">
        <w:rPr>
          <w:rFonts w:ascii="Times New Roman" w:eastAsia="Calibri" w:hAnsi="Times New Roman" w:cs="Times New Roman"/>
          <w:b/>
          <w:sz w:val="24"/>
          <w:szCs w:val="24"/>
        </w:rPr>
        <w:t xml:space="preserve">A679071 NOVI PODPROJEKT </w:t>
      </w:r>
      <w:proofErr w:type="spellStart"/>
      <w:r w:rsidRPr="00B54C28">
        <w:rPr>
          <w:rFonts w:ascii="Times New Roman" w:hAnsi="Times New Roman" w:cs="Times New Roman"/>
          <w:sz w:val="24"/>
          <w:szCs w:val="24"/>
        </w:rPr>
        <w:t>Blended</w:t>
      </w:r>
      <w:proofErr w:type="spellEnd"/>
      <w:r w:rsidRPr="00B54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C28">
        <w:rPr>
          <w:rFonts w:ascii="Times New Roman" w:hAnsi="Times New Roman" w:cs="Times New Roman"/>
          <w:sz w:val="24"/>
          <w:szCs w:val="24"/>
        </w:rPr>
        <w:t>Intensive</w:t>
      </w:r>
      <w:proofErr w:type="spellEnd"/>
      <w:r w:rsidRPr="00B54C2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54C2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54C28">
        <w:rPr>
          <w:rFonts w:ascii="Times New Roman" w:hAnsi="Times New Roman" w:cs="Times New Roman"/>
          <w:sz w:val="24"/>
          <w:szCs w:val="24"/>
        </w:rPr>
        <w:t xml:space="preserve"> + K131 ; </w:t>
      </w:r>
      <w:proofErr w:type="spellStart"/>
      <w:r w:rsidRPr="00B54C28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B54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C28">
        <w:rPr>
          <w:rFonts w:ascii="Times New Roman" w:hAnsi="Times New Roman" w:cs="Times New Roman"/>
          <w:sz w:val="24"/>
          <w:szCs w:val="24"/>
          <w:highlight w:val="lightGray"/>
        </w:rPr>
        <w:t>Together</w:t>
      </w:r>
      <w:proofErr w:type="spellEnd"/>
      <w:r w:rsidRPr="00B54C28">
        <w:rPr>
          <w:rFonts w:ascii="Times New Roman" w:hAnsi="Times New Roman" w:cs="Times New Roman"/>
          <w:sz w:val="24"/>
          <w:szCs w:val="24"/>
          <w:highlight w:val="lightGray"/>
        </w:rPr>
        <w:t xml:space="preserve">: </w:t>
      </w:r>
      <w:proofErr w:type="spellStart"/>
      <w:r w:rsidRPr="00B54C28">
        <w:rPr>
          <w:rFonts w:ascii="Times New Roman" w:hAnsi="Times New Roman" w:cs="Times New Roman"/>
          <w:sz w:val="24"/>
          <w:szCs w:val="24"/>
          <w:highlight w:val="lightGray"/>
        </w:rPr>
        <w:t>Common</w:t>
      </w:r>
      <w:proofErr w:type="spellEnd"/>
      <w:r w:rsidRPr="00B54C28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B54C28">
        <w:rPr>
          <w:rFonts w:ascii="Times New Roman" w:hAnsi="Times New Roman" w:cs="Times New Roman"/>
          <w:sz w:val="24"/>
          <w:szCs w:val="24"/>
          <w:highlight w:val="lightGray"/>
        </w:rPr>
        <w:t>Rivers</w:t>
      </w:r>
      <w:proofErr w:type="spellEnd"/>
      <w:r w:rsidRPr="00B54C28">
        <w:rPr>
          <w:rFonts w:ascii="Times New Roman" w:hAnsi="Times New Roman" w:cs="Times New Roman"/>
          <w:sz w:val="24"/>
          <w:szCs w:val="24"/>
          <w:highlight w:val="lightGray"/>
        </w:rPr>
        <w:t xml:space="preserve">, </w:t>
      </w:r>
      <w:proofErr w:type="spellStart"/>
      <w:r w:rsidRPr="00B54C28">
        <w:rPr>
          <w:rFonts w:ascii="Times New Roman" w:hAnsi="Times New Roman" w:cs="Times New Roman"/>
          <w:sz w:val="24"/>
          <w:szCs w:val="24"/>
          <w:highlight w:val="lightGray"/>
        </w:rPr>
        <w:t>Common</w:t>
      </w:r>
      <w:proofErr w:type="spellEnd"/>
      <w:r w:rsidRPr="00B54C28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B54C28">
        <w:rPr>
          <w:rFonts w:ascii="Times New Roman" w:hAnsi="Times New Roman" w:cs="Times New Roman"/>
          <w:sz w:val="24"/>
          <w:szCs w:val="24"/>
          <w:highlight w:val="lightGray"/>
        </w:rPr>
        <w:t>Culture</w:t>
      </w:r>
      <w:proofErr w:type="spellEnd"/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823ED5" w:rsidRPr="002A5E6A" w14:paraId="30148E45" w14:textId="77777777" w:rsidTr="00CF2BC5">
        <w:trPr>
          <w:trHeight w:val="483"/>
          <w:jc w:val="center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024C0078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8BA9D16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Plan 2025.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A293640" w14:textId="77777777" w:rsidR="00823ED5" w:rsidRPr="009E443D" w:rsidRDefault="00823ED5" w:rsidP="00FA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Povećanje/</w:t>
            </w:r>
          </w:p>
          <w:p w14:paraId="4A131D40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smanjenje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A55FE95" w14:textId="77777777" w:rsidR="00823ED5" w:rsidRPr="002A5E6A" w:rsidRDefault="00823ED5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Novi plan 2025.</w:t>
            </w:r>
          </w:p>
        </w:tc>
      </w:tr>
      <w:tr w:rsidR="00823ED5" w:rsidRPr="002A5E6A" w14:paraId="1D5D117F" w14:textId="77777777" w:rsidTr="00BA3A1E">
        <w:trPr>
          <w:trHeight w:val="712"/>
          <w:jc w:val="center"/>
        </w:trPr>
        <w:tc>
          <w:tcPr>
            <w:tcW w:w="3402" w:type="dxa"/>
            <w:vAlign w:val="center"/>
          </w:tcPr>
          <w:p w14:paraId="4014E237" w14:textId="1B03EFDC" w:rsidR="00823ED5" w:rsidRPr="002A5E6A" w:rsidRDefault="00823ED5" w:rsidP="00BA3A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E6A">
              <w:rPr>
                <w:rFonts w:ascii="Times New Roman" w:hAnsi="Times New Roman" w:cs="Times New Roman"/>
              </w:rPr>
              <w:t>A679071</w:t>
            </w:r>
            <w:r>
              <w:rPr>
                <w:rFonts w:ascii="Times New Roman" w:hAnsi="Times New Roman" w:cs="Times New Roman"/>
              </w:rPr>
              <w:t xml:space="preserve"> NOVI PODPROJEKT</w:t>
            </w:r>
          </w:p>
        </w:tc>
        <w:tc>
          <w:tcPr>
            <w:tcW w:w="1701" w:type="dxa"/>
            <w:vAlign w:val="bottom"/>
          </w:tcPr>
          <w:p w14:paraId="7C37369D" w14:textId="6F65FDB6" w:rsidR="00823ED5" w:rsidRPr="002A5E6A" w:rsidRDefault="003E629F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bottom"/>
          </w:tcPr>
          <w:p w14:paraId="6D370EAE" w14:textId="30293470" w:rsidR="00823ED5" w:rsidRPr="002A5E6A" w:rsidRDefault="00310DD7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5.166,00</w:t>
            </w:r>
          </w:p>
        </w:tc>
        <w:tc>
          <w:tcPr>
            <w:tcW w:w="1701" w:type="dxa"/>
            <w:vAlign w:val="bottom"/>
          </w:tcPr>
          <w:p w14:paraId="743B2DE8" w14:textId="76A5898C" w:rsidR="00823ED5" w:rsidRPr="002A5E6A" w:rsidRDefault="00310DD7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5.166,00</w:t>
            </w:r>
          </w:p>
        </w:tc>
      </w:tr>
    </w:tbl>
    <w:p w14:paraId="2239F09A" w14:textId="77777777" w:rsidR="00823ED5" w:rsidRDefault="00823ED5" w:rsidP="00246E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E41D9" w14:textId="1675047D" w:rsidR="00B54C28" w:rsidRPr="00841F2A" w:rsidRDefault="00B54C28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B54C28">
        <w:rPr>
          <w:rFonts w:ascii="Times New Roman" w:hAnsi="Times New Roman" w:cs="Times New Roman"/>
          <w:bCs/>
          <w:sz w:val="24"/>
          <w:szCs w:val="24"/>
        </w:rPr>
        <w:t>Naziv projekta:</w:t>
      </w:r>
      <w:r w:rsidRPr="00B54C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C28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B54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C28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B54C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4C28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B54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C28">
        <w:rPr>
          <w:rFonts w:ascii="Times New Roman" w:hAnsi="Times New Roman" w:cs="Times New Roman"/>
          <w:sz w:val="24"/>
          <w:szCs w:val="24"/>
        </w:rPr>
        <w:t>Rivers</w:t>
      </w:r>
      <w:proofErr w:type="spellEnd"/>
      <w:r w:rsidRPr="00B54C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4C28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B54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C28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B54C28">
        <w:rPr>
          <w:rFonts w:ascii="Times New Roman" w:hAnsi="Times New Roman" w:cs="Times New Roman"/>
          <w:sz w:val="24"/>
          <w:szCs w:val="24"/>
        </w:rPr>
        <w:t>.</w:t>
      </w:r>
    </w:p>
    <w:p w14:paraId="2209D96C" w14:textId="7AFA04ED" w:rsidR="00B54C28" w:rsidRPr="00E81B25" w:rsidRDefault="00B54C28" w:rsidP="00EE15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projekta: </w:t>
      </w:r>
      <w:r w:rsidRPr="006C11B5">
        <w:rPr>
          <w:rFonts w:ascii="Times New Roman" w:hAnsi="Times New Roman" w:cs="Times New Roman"/>
          <w:bCs/>
          <w:sz w:val="24"/>
          <w:szCs w:val="24"/>
        </w:rPr>
        <w:t>Urbanistička radionica omogućuje studentima rad na stvarnom zadatku urbanog projektiranja u međunarodnom timskom okruženju. Cilj je razviti konceptualna i preliminarna rješenja za mali javni prostor uz Dravu u Osijeku, s naglaskom na održivost, prirodna rješenja, klimatsku otpornost te jačanje identiteta grada.</w:t>
      </w:r>
    </w:p>
    <w:p w14:paraId="503DC060" w14:textId="77777777" w:rsidR="00EE156E" w:rsidRDefault="00EE156E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E6CB44" w14:textId="649C0376" w:rsidR="00B54C28" w:rsidRDefault="008E2285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9A4">
        <w:rPr>
          <w:rFonts w:ascii="Times New Roman" w:hAnsi="Times New Roman" w:cs="Times New Roman"/>
          <w:sz w:val="24"/>
          <w:szCs w:val="24"/>
        </w:rPr>
        <w:t>Nositelj projekta</w:t>
      </w:r>
      <w:r>
        <w:rPr>
          <w:rFonts w:ascii="Times New Roman" w:hAnsi="Times New Roman" w:cs="Times New Roman"/>
          <w:sz w:val="24"/>
          <w:szCs w:val="24"/>
        </w:rPr>
        <w:t>/uplatitelj sredstava</w:t>
      </w:r>
      <w:r w:rsidRPr="008A39A4">
        <w:rPr>
          <w:rFonts w:ascii="Times New Roman" w:hAnsi="Times New Roman" w:cs="Times New Roman"/>
          <w:sz w:val="24"/>
          <w:szCs w:val="24"/>
        </w:rPr>
        <w:t xml:space="preserve">: </w:t>
      </w:r>
      <w:r w:rsidR="00B54C28" w:rsidRPr="00E81B25">
        <w:rPr>
          <w:rFonts w:ascii="Times New Roman" w:hAnsi="Times New Roman" w:cs="Times New Roman"/>
          <w:sz w:val="24"/>
          <w:szCs w:val="24"/>
        </w:rPr>
        <w:t>Sveučilište Josipa Jurja Strossmayera u Osijeku</w:t>
      </w:r>
      <w:r w:rsidR="007501EE">
        <w:rPr>
          <w:rFonts w:ascii="Times New Roman" w:hAnsi="Times New Roman" w:cs="Times New Roman"/>
          <w:sz w:val="24"/>
          <w:szCs w:val="24"/>
        </w:rPr>
        <w:t>.</w:t>
      </w:r>
    </w:p>
    <w:p w14:paraId="2710D109" w14:textId="77777777" w:rsidR="00B54C28" w:rsidRPr="00E81B25" w:rsidRDefault="00B54C28" w:rsidP="00246E6D">
      <w:pPr>
        <w:tabs>
          <w:tab w:val="left" w:pos="246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B25">
        <w:rPr>
          <w:rFonts w:ascii="Times New Roman" w:hAnsi="Times New Roman" w:cs="Times New Roman"/>
          <w:bCs/>
          <w:sz w:val="24"/>
          <w:szCs w:val="24"/>
        </w:rPr>
        <w:t>Trajanje projekta: od 14. 3. 2025. do 15.5.2025.</w:t>
      </w:r>
    </w:p>
    <w:p w14:paraId="4B301E4F" w14:textId="20E1E49E" w:rsidR="00B54C28" w:rsidRPr="00E81B25" w:rsidRDefault="00B54C28" w:rsidP="00246E6D">
      <w:pPr>
        <w:tabs>
          <w:tab w:val="left" w:pos="246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B25">
        <w:rPr>
          <w:rFonts w:ascii="Times New Roman" w:hAnsi="Times New Roman" w:cs="Times New Roman"/>
          <w:bCs/>
          <w:sz w:val="24"/>
          <w:szCs w:val="24"/>
        </w:rPr>
        <w:t>Ukupna ugovorena vrijednost projekta je:   6.000,00 eura</w:t>
      </w:r>
      <w:r w:rsidR="007501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07A6F3" w14:textId="4ABF1DAA" w:rsidR="00B54C28" w:rsidRPr="00E81B25" w:rsidRDefault="00B54C28" w:rsidP="00246E6D">
      <w:pPr>
        <w:tabs>
          <w:tab w:val="left" w:pos="246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B25">
        <w:rPr>
          <w:rFonts w:ascii="Times New Roman" w:hAnsi="Times New Roman" w:cs="Times New Roman"/>
          <w:bCs/>
          <w:sz w:val="24"/>
          <w:szCs w:val="24"/>
        </w:rPr>
        <w:t>Ukupna ugovorena vrijednost projekta za Fakultet je:   6.000,00 eura</w:t>
      </w:r>
      <w:r w:rsidR="007501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9C817C" w14:textId="761A524A" w:rsidR="00B54C28" w:rsidRPr="00E81B25" w:rsidRDefault="00B54C28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 xml:space="preserve">U 2025. godini ukupno su planirana sredstva u iznosu </w:t>
      </w:r>
      <w:r w:rsidRPr="00E81B25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1D238F">
        <w:rPr>
          <w:rFonts w:ascii="Times New Roman" w:hAnsi="Times New Roman" w:cs="Times New Roman"/>
          <w:sz w:val="24"/>
          <w:szCs w:val="24"/>
        </w:rPr>
        <w:t>5.166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E81B25">
        <w:rPr>
          <w:rFonts w:ascii="Times New Roman" w:hAnsi="Times New Roman" w:cs="Times New Roman"/>
          <w:bCs/>
          <w:sz w:val="24"/>
          <w:szCs w:val="24"/>
        </w:rPr>
        <w:t>eura</w:t>
      </w:r>
      <w:r w:rsidR="007501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F598B3" w14:textId="0736C684" w:rsidR="00B54C28" w:rsidRPr="00E81B25" w:rsidRDefault="00B54C28" w:rsidP="00EE156E">
      <w:pPr>
        <w:tabs>
          <w:tab w:val="left" w:pos="24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25">
        <w:rPr>
          <w:rFonts w:ascii="Times New Roman" w:hAnsi="Times New Roman" w:cs="Times New Roman"/>
          <w:sz w:val="24"/>
          <w:szCs w:val="24"/>
        </w:rPr>
        <w:t>Aktivnosti projekta u 2025. godini:</w:t>
      </w:r>
      <w:r w:rsidR="00036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Provedba studentskog natječaja za izradu logoa BIP radionice; provedba fizičkog dijela radionice - boravak 16 studenata iz </w:t>
      </w:r>
      <w:r w:rsidRPr="00185A5E">
        <w:rPr>
          <w:rFonts w:ascii="Times New Roman" w:hAnsi="Times New Roman" w:cs="Times New Roman"/>
          <w:sz w:val="24"/>
          <w:szCs w:val="24"/>
        </w:rPr>
        <w:t xml:space="preserve">University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 Applied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 Arts,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Fachhochschule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 Dortmund,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Architecture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German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185A5E">
        <w:rPr>
          <w:rFonts w:ascii="Times New Roman" w:hAnsi="Times New Roman" w:cs="Times New Roman"/>
          <w:sz w:val="24"/>
          <w:szCs w:val="24"/>
        </w:rPr>
        <w:t xml:space="preserve">University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 Maribor,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Transportation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Architecture</w:t>
      </w:r>
      <w:proofErr w:type="spellEnd"/>
      <w:r w:rsidRPr="00185A5E">
        <w:rPr>
          <w:rFonts w:ascii="Times New Roman" w:hAnsi="Times New Roman" w:cs="Times New Roman"/>
          <w:sz w:val="24"/>
          <w:szCs w:val="24"/>
        </w:rPr>
        <w:t xml:space="preserve"> (FGPA), </w:t>
      </w:r>
      <w:proofErr w:type="spellStart"/>
      <w:r w:rsidRPr="00185A5E">
        <w:rPr>
          <w:rFonts w:ascii="Times New Roman" w:hAnsi="Times New Roman" w:cs="Times New Roman"/>
          <w:sz w:val="24"/>
          <w:szCs w:val="24"/>
        </w:rPr>
        <w:t>Slovenia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rad na Građevinskom i arhitektonskom fakultetu Osijek.</w:t>
      </w:r>
    </w:p>
    <w:p w14:paraId="385AEEEF" w14:textId="1438056A" w:rsidR="00900872" w:rsidRDefault="00900872" w:rsidP="00246E6D">
      <w:pPr>
        <w:pStyle w:val="Odlomakpopisa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44346BC7" w14:textId="3D103861" w:rsidR="006F2DE4" w:rsidRDefault="006F2DE4" w:rsidP="00246E6D">
      <w:pPr>
        <w:pStyle w:val="Odlomakpopisa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324FC199" w14:textId="77777777" w:rsidR="006F2DE4" w:rsidRDefault="006F2DE4" w:rsidP="00246E6D">
      <w:pPr>
        <w:pStyle w:val="Odlomakpopisa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44BD2E35" w14:textId="41FB876E" w:rsidR="00EB48FE" w:rsidRDefault="00EB48FE" w:rsidP="00246E6D">
      <w:pPr>
        <w:pBdr>
          <w:top w:val="dotted" w:sz="4" w:space="1" w:color="808080"/>
          <w:bottom w:val="dotted" w:sz="4" w:space="1" w:color="808080"/>
        </w:pBdr>
        <w:shd w:val="clear" w:color="auto" w:fill="D9D9D9" w:themeFill="background1" w:themeFillShade="D9"/>
        <w:tabs>
          <w:tab w:val="left" w:pos="2464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Hlk152573031"/>
      <w:r w:rsidRPr="00EF4D2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A679071.085 </w:t>
      </w:r>
      <w:proofErr w:type="spellStart"/>
      <w:r w:rsidRPr="00EF4D2B">
        <w:rPr>
          <w:rFonts w:ascii="Times New Roman" w:eastAsia="Calibri" w:hAnsi="Times New Roman" w:cs="Times New Roman"/>
          <w:b/>
          <w:sz w:val="24"/>
          <w:szCs w:val="24"/>
        </w:rPr>
        <w:t>Horizon</w:t>
      </w:r>
      <w:proofErr w:type="spellEnd"/>
      <w:r w:rsidRPr="00EF4D2B">
        <w:rPr>
          <w:rFonts w:ascii="Times New Roman" w:eastAsia="Calibri" w:hAnsi="Times New Roman" w:cs="Times New Roman"/>
          <w:b/>
          <w:sz w:val="24"/>
          <w:szCs w:val="24"/>
        </w:rPr>
        <w:t xml:space="preserve"> Europe Framework </w:t>
      </w:r>
      <w:proofErr w:type="spellStart"/>
      <w:r w:rsidRPr="00EF4D2B">
        <w:rPr>
          <w:rFonts w:ascii="Times New Roman" w:eastAsia="Calibri" w:hAnsi="Times New Roman" w:cs="Times New Roman"/>
          <w:b/>
          <w:sz w:val="24"/>
          <w:szCs w:val="24"/>
        </w:rPr>
        <w:t>Programme</w:t>
      </w:r>
      <w:proofErr w:type="spellEnd"/>
      <w:r w:rsidRPr="00EF4D2B">
        <w:rPr>
          <w:rFonts w:ascii="Times New Roman" w:eastAsia="Calibri" w:hAnsi="Times New Roman" w:cs="Times New Roman"/>
          <w:b/>
          <w:sz w:val="24"/>
          <w:szCs w:val="24"/>
        </w:rPr>
        <w:t xml:space="preserve"> (HORIZON)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CC17AB" w:rsidRPr="002A5E6A" w14:paraId="1CBAF01F" w14:textId="77777777" w:rsidTr="00A56C4B">
        <w:trPr>
          <w:trHeight w:val="483"/>
          <w:jc w:val="center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63BB3734" w14:textId="77777777" w:rsidR="00CC17AB" w:rsidRPr="002A5E6A" w:rsidRDefault="00CC17AB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041AF51" w14:textId="77777777" w:rsidR="00CC17AB" w:rsidRPr="002A5E6A" w:rsidRDefault="00CC17AB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Plan 2025.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2EF7FB5" w14:textId="77777777" w:rsidR="00CC17AB" w:rsidRPr="009E443D" w:rsidRDefault="00CC17AB" w:rsidP="00FA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Povećanje/</w:t>
            </w:r>
          </w:p>
          <w:p w14:paraId="09030EF6" w14:textId="77777777" w:rsidR="00CC17AB" w:rsidRPr="002A5E6A" w:rsidRDefault="00CC17AB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smanjenje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5619C6D" w14:textId="77777777" w:rsidR="00CC17AB" w:rsidRPr="002A5E6A" w:rsidRDefault="00CC17AB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Novi plan 2025.</w:t>
            </w:r>
          </w:p>
        </w:tc>
      </w:tr>
      <w:tr w:rsidR="00CC17AB" w:rsidRPr="002A5E6A" w14:paraId="3FECA0D0" w14:textId="77777777" w:rsidTr="00BA3A1E">
        <w:trPr>
          <w:trHeight w:val="665"/>
          <w:jc w:val="center"/>
        </w:trPr>
        <w:tc>
          <w:tcPr>
            <w:tcW w:w="3402" w:type="dxa"/>
            <w:vAlign w:val="center"/>
          </w:tcPr>
          <w:p w14:paraId="2506B1A3" w14:textId="4298CB22" w:rsidR="00CC17AB" w:rsidRPr="002A5E6A" w:rsidRDefault="00CC17AB" w:rsidP="00BA3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6A">
              <w:rPr>
                <w:rFonts w:ascii="Times New Roman" w:hAnsi="Times New Roman" w:cs="Times New Roman"/>
              </w:rPr>
              <w:t>A679071</w:t>
            </w:r>
            <w:r>
              <w:rPr>
                <w:rFonts w:ascii="Times New Roman" w:hAnsi="Times New Roman" w:cs="Times New Roman"/>
              </w:rPr>
              <w:t>.085</w:t>
            </w:r>
          </w:p>
        </w:tc>
        <w:tc>
          <w:tcPr>
            <w:tcW w:w="1701" w:type="dxa"/>
            <w:vAlign w:val="bottom"/>
          </w:tcPr>
          <w:p w14:paraId="0CD97CC1" w14:textId="4FB72E3F" w:rsidR="00CC17AB" w:rsidRPr="002A5E6A" w:rsidRDefault="00604D4E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9.115,00</w:t>
            </w:r>
          </w:p>
        </w:tc>
        <w:tc>
          <w:tcPr>
            <w:tcW w:w="1701" w:type="dxa"/>
            <w:vAlign w:val="bottom"/>
          </w:tcPr>
          <w:p w14:paraId="0E93B6FB" w14:textId="7582F692" w:rsidR="00CC17AB" w:rsidRPr="002A5E6A" w:rsidRDefault="003E629F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bottom"/>
          </w:tcPr>
          <w:p w14:paraId="53DF7DDE" w14:textId="6D947DBC" w:rsidR="00CC17AB" w:rsidRPr="002A5E6A" w:rsidRDefault="00604D4E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9.115,00</w:t>
            </w:r>
          </w:p>
        </w:tc>
      </w:tr>
    </w:tbl>
    <w:p w14:paraId="15C94089" w14:textId="77777777" w:rsidR="00CC17AB" w:rsidRDefault="00CC17AB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8A28118" w14:textId="64BD885B" w:rsidR="00EB48FE" w:rsidRPr="00EF4D2B" w:rsidRDefault="00EB48FE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 xml:space="preserve">Naziv projekta: EYES HEARTS HANDS Urban </w:t>
      </w:r>
      <w:proofErr w:type="spellStart"/>
      <w:r w:rsidRPr="00EF4D2B">
        <w:rPr>
          <w:rFonts w:ascii="Times New Roman" w:hAnsi="Times New Roman" w:cs="Times New Roman"/>
          <w:sz w:val="24"/>
          <w:szCs w:val="24"/>
        </w:rPr>
        <w:t>Revolution</w:t>
      </w:r>
      <w:proofErr w:type="spellEnd"/>
    </w:p>
    <w:p w14:paraId="7D3F4763" w14:textId="50A8E8DB" w:rsidR="00EB48FE" w:rsidRPr="00EF4D2B" w:rsidRDefault="00F32269" w:rsidP="00EE1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>Opis projekta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44D">
        <w:rPr>
          <w:rFonts w:ascii="Times New Roman" w:hAnsi="Times New Roman" w:cs="Times New Roman"/>
          <w:sz w:val="24"/>
          <w:szCs w:val="24"/>
        </w:rPr>
        <w:t>Postizanje klimatske neutralnosti, otpornosti na klimatske promjene, čistog tla i vode i zdravih životnih uvjeta zahtijeva usvajanje sustavnog pristupa rješavanju postojećih znanstvenih, tehnoloških i financijskih problema zajedno s obukom političkog vodstva i cijele zajednice/građana.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44D">
        <w:rPr>
          <w:rFonts w:ascii="Times New Roman" w:hAnsi="Times New Roman" w:cs="Times New Roman"/>
          <w:sz w:val="24"/>
          <w:szCs w:val="24"/>
        </w:rPr>
        <w:t xml:space="preserve">Osijek pripada </w:t>
      </w:r>
      <w:proofErr w:type="spellStart"/>
      <w:r w:rsidRPr="0037544D">
        <w:rPr>
          <w:rFonts w:ascii="Times New Roman" w:hAnsi="Times New Roman" w:cs="Times New Roman"/>
          <w:sz w:val="24"/>
          <w:szCs w:val="24"/>
        </w:rPr>
        <w:t>Lighthouseu</w:t>
      </w:r>
      <w:proofErr w:type="spellEnd"/>
      <w:r w:rsidRPr="0037544D">
        <w:rPr>
          <w:rFonts w:ascii="Times New Roman" w:hAnsi="Times New Roman" w:cs="Times New Roman"/>
          <w:sz w:val="24"/>
          <w:szCs w:val="24"/>
        </w:rPr>
        <w:t xml:space="preserve"> 6 u sklopu kojeg se planiraju razne aktivnosti uz podršku i aktivnu uključenost građana grada Osijeka.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44D">
        <w:rPr>
          <w:rFonts w:ascii="Times New Roman" w:hAnsi="Times New Roman" w:cs="Times New Roman"/>
          <w:sz w:val="24"/>
          <w:szCs w:val="24"/>
        </w:rPr>
        <w:t>U planu je osigurati i napraviti: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44D">
        <w:rPr>
          <w:rFonts w:ascii="Times New Roman" w:hAnsi="Times New Roman" w:cs="Times New Roman"/>
          <w:sz w:val="24"/>
          <w:szCs w:val="24"/>
        </w:rPr>
        <w:t>projektno tehničku dokumentaciju za uređenje dvorane Zrinjevac (revizija postojeće dokumentacije i primjena „zelenih“ rješenja, zelena fasada, zeleni krov i sl.) i uređenje okolnog prostora parka,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44D">
        <w:rPr>
          <w:rFonts w:ascii="Times New Roman" w:hAnsi="Times New Roman" w:cs="Times New Roman"/>
          <w:sz w:val="24"/>
          <w:szCs w:val="24"/>
        </w:rPr>
        <w:t>uređenje parka O. Neumanna,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44D">
        <w:rPr>
          <w:rFonts w:ascii="Times New Roman" w:hAnsi="Times New Roman" w:cs="Times New Roman"/>
          <w:sz w:val="24"/>
          <w:szCs w:val="24"/>
        </w:rPr>
        <w:t>park oko Zdenca na Gornjogradskoj obali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44D">
        <w:rPr>
          <w:rFonts w:ascii="Times New Roman" w:hAnsi="Times New Roman" w:cs="Times New Roman"/>
          <w:sz w:val="24"/>
          <w:szCs w:val="24"/>
        </w:rPr>
        <w:t>rješenje zatvaranje dijela Županijske ulice od Katedrale do Ulice Hrvatske Republike (kao pješačke zone).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44D">
        <w:rPr>
          <w:rFonts w:ascii="Times New Roman" w:hAnsi="Times New Roman" w:cs="Times New Roman"/>
          <w:sz w:val="24"/>
          <w:szCs w:val="24"/>
        </w:rPr>
        <w:t>Na sva projektna rješenja primjenjivati će se principi Novog europskog Bauhausa koji obogaćuje europski zeleni plan kulturnom i kreativnom dimenzijom te pokazuje kako održive inovacije mogu konkretno pridonijeti pozitivnim iskustvima u našem svakodnevnom životu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88C81D" w14:textId="77777777" w:rsidR="00EE156E" w:rsidRDefault="00EE156E" w:rsidP="00246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472D8" w14:textId="7F2C74C6" w:rsidR="00F32269" w:rsidRPr="008A39A4" w:rsidRDefault="00F32269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8A39A4">
        <w:rPr>
          <w:rFonts w:ascii="Times New Roman" w:hAnsi="Times New Roman" w:cs="Times New Roman"/>
          <w:sz w:val="24"/>
          <w:szCs w:val="24"/>
        </w:rPr>
        <w:t>Nositelj projekta</w:t>
      </w:r>
      <w:r w:rsidR="008E2285">
        <w:rPr>
          <w:rFonts w:ascii="Times New Roman" w:hAnsi="Times New Roman" w:cs="Times New Roman"/>
          <w:sz w:val="24"/>
          <w:szCs w:val="24"/>
        </w:rPr>
        <w:t>/uplatitelj sredstava</w:t>
      </w:r>
      <w:r w:rsidRPr="008A39A4">
        <w:rPr>
          <w:rFonts w:ascii="Times New Roman" w:hAnsi="Times New Roman" w:cs="Times New Roman"/>
          <w:sz w:val="24"/>
          <w:szCs w:val="24"/>
        </w:rPr>
        <w:t>:</w:t>
      </w:r>
      <w:r w:rsidR="008A39A4" w:rsidRPr="008A3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9A4" w:rsidRPr="008A39A4">
        <w:rPr>
          <w:rFonts w:ascii="Times New Roman" w:hAnsi="Times New Roman" w:cs="Times New Roman"/>
          <w:sz w:val="24"/>
          <w:szCs w:val="24"/>
          <w:shd w:val="clear" w:color="auto" w:fill="FFFFFF"/>
        </w:rPr>
        <w:t>Rina</w:t>
      </w:r>
      <w:proofErr w:type="spellEnd"/>
      <w:r w:rsidR="008A39A4" w:rsidRPr="008A39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A39A4" w:rsidRPr="008A39A4">
        <w:rPr>
          <w:rFonts w:ascii="Times New Roman" w:hAnsi="Times New Roman" w:cs="Times New Roman"/>
          <w:sz w:val="24"/>
          <w:szCs w:val="24"/>
          <w:shd w:val="clear" w:color="auto" w:fill="FFFFFF"/>
        </w:rPr>
        <w:t>Consulting</w:t>
      </w:r>
      <w:proofErr w:type="spellEnd"/>
      <w:r w:rsidR="008A39A4" w:rsidRPr="008A39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A39A4" w:rsidRPr="008A39A4">
        <w:rPr>
          <w:rFonts w:ascii="Times New Roman" w:hAnsi="Times New Roman" w:cs="Times New Roman"/>
          <w:sz w:val="24"/>
          <w:szCs w:val="24"/>
          <w:shd w:val="clear" w:color="auto" w:fill="FFFFFF"/>
        </w:rPr>
        <w:t>SpA</w:t>
      </w:r>
      <w:proofErr w:type="spellEnd"/>
      <w:r w:rsidR="007501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FA2A0B7" w14:textId="2B090368" w:rsidR="00EB48FE" w:rsidRPr="00EF4D2B" w:rsidRDefault="00EB48FE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 xml:space="preserve">Trajanje projekta je od 1.10.2022. do </w:t>
      </w:r>
      <w:r>
        <w:rPr>
          <w:rFonts w:ascii="Times New Roman" w:hAnsi="Times New Roman" w:cs="Times New Roman"/>
          <w:sz w:val="24"/>
          <w:szCs w:val="24"/>
        </w:rPr>
        <w:t>30.9.</w:t>
      </w:r>
      <w:r w:rsidRPr="00EF4D2B">
        <w:rPr>
          <w:rFonts w:ascii="Times New Roman" w:hAnsi="Times New Roman" w:cs="Times New Roman"/>
          <w:sz w:val="24"/>
          <w:szCs w:val="24"/>
        </w:rPr>
        <w:t>2025.</w:t>
      </w:r>
    </w:p>
    <w:p w14:paraId="1CFC8125" w14:textId="39FC36B0" w:rsidR="00EB48FE" w:rsidRDefault="00EB48FE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 xml:space="preserve">Ukupna ugovorena vrijednost projekta je: 4.994.903,75 eura. </w:t>
      </w:r>
    </w:p>
    <w:p w14:paraId="70F7E5D2" w14:textId="119CF84F" w:rsidR="00A71A07" w:rsidRDefault="00EB48FE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 xml:space="preserve">Ukupna ugovorena vrijednost projekta za </w:t>
      </w:r>
      <w:r w:rsidR="004A03B1">
        <w:rPr>
          <w:rFonts w:ascii="Times New Roman" w:hAnsi="Times New Roman" w:cs="Times New Roman"/>
          <w:sz w:val="24"/>
          <w:szCs w:val="24"/>
        </w:rPr>
        <w:t xml:space="preserve">Fakultet </w:t>
      </w:r>
      <w:r w:rsidRPr="00EF4D2B">
        <w:rPr>
          <w:rFonts w:ascii="Times New Roman" w:hAnsi="Times New Roman" w:cs="Times New Roman"/>
          <w:sz w:val="24"/>
          <w:szCs w:val="24"/>
        </w:rPr>
        <w:t>je: 46.875,00 eura</w:t>
      </w:r>
      <w:r w:rsidR="007501EE">
        <w:rPr>
          <w:rFonts w:ascii="Times New Roman" w:hAnsi="Times New Roman" w:cs="Times New Roman"/>
          <w:sz w:val="24"/>
          <w:szCs w:val="24"/>
        </w:rPr>
        <w:t>.</w:t>
      </w:r>
    </w:p>
    <w:p w14:paraId="1DF33B3D" w14:textId="4DEE9849" w:rsidR="00EB48FE" w:rsidRPr="005D5EEE" w:rsidRDefault="00A71A07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1A07">
        <w:rPr>
          <w:rFonts w:ascii="Times New Roman" w:hAnsi="Times New Roman" w:cs="Times New Roman"/>
          <w:sz w:val="24"/>
          <w:szCs w:val="24"/>
        </w:rPr>
        <w:t>Dodijeljeni iznos bespovratnih sredstava</w:t>
      </w:r>
      <w:r w:rsidRPr="005D5EEE">
        <w:rPr>
          <w:rFonts w:ascii="Times New Roman" w:hAnsi="Times New Roman" w:cs="Times New Roman"/>
          <w:sz w:val="24"/>
          <w:szCs w:val="24"/>
        </w:rPr>
        <w:t>: 46.875,00 eura</w:t>
      </w:r>
      <w:r w:rsidR="007501EE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4F9FDDAF" w14:textId="77777777" w:rsidR="00EB48FE" w:rsidRPr="00EF4D2B" w:rsidRDefault="00EB48FE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 xml:space="preserve">U 2025. godini ukupno su planirana sredstva u iznosu od 9.115,00 eura. </w:t>
      </w:r>
    </w:p>
    <w:p w14:paraId="31894ECB" w14:textId="0C2BDA1C" w:rsidR="00EB48FE" w:rsidRDefault="00EB48FE" w:rsidP="00036659">
      <w:pPr>
        <w:tabs>
          <w:tab w:val="left" w:pos="2464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>Aktivnosti projekta</w:t>
      </w:r>
      <w:r w:rsidR="00F32269">
        <w:rPr>
          <w:rFonts w:ascii="Times New Roman" w:hAnsi="Times New Roman" w:cs="Times New Roman"/>
          <w:sz w:val="24"/>
          <w:szCs w:val="24"/>
        </w:rPr>
        <w:t xml:space="preserve"> u 2025. godini</w:t>
      </w:r>
      <w:r w:rsidRPr="00EF4D2B">
        <w:rPr>
          <w:rFonts w:ascii="Times New Roman" w:hAnsi="Times New Roman" w:cs="Times New Roman"/>
          <w:sz w:val="24"/>
          <w:szCs w:val="24"/>
        </w:rPr>
        <w:t>:</w:t>
      </w:r>
      <w:r w:rsidR="00036659">
        <w:rPr>
          <w:rFonts w:ascii="Times New Roman" w:hAnsi="Times New Roman" w:cs="Times New Roman"/>
          <w:sz w:val="24"/>
          <w:szCs w:val="24"/>
        </w:rPr>
        <w:t xml:space="preserve"> T</w:t>
      </w:r>
      <w:r w:rsidRPr="00EF4D2B">
        <w:rPr>
          <w:rFonts w:ascii="Times New Roman" w:hAnsi="Times New Roman" w:cs="Times New Roman"/>
          <w:sz w:val="24"/>
          <w:szCs w:val="24"/>
        </w:rPr>
        <w:t>roškovi osoblja, putni trošak, smještaj i dnevnice za odlaske na projektne sastanke.</w:t>
      </w:r>
    </w:p>
    <w:p w14:paraId="1E8727EC" w14:textId="77777777" w:rsidR="007C27BD" w:rsidRPr="00900872" w:rsidRDefault="007C27BD" w:rsidP="00246E6D">
      <w:pPr>
        <w:pStyle w:val="Odlomakpopisa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138D1A26" w14:textId="77777777" w:rsidR="00E71D0A" w:rsidRPr="00D06516" w:rsidRDefault="009652E5" w:rsidP="00246E6D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08F">
        <w:rPr>
          <w:rFonts w:ascii="Times New Roman" w:eastAsia="Calibri" w:hAnsi="Times New Roman" w:cs="Times New Roman"/>
          <w:b/>
          <w:sz w:val="24"/>
          <w:szCs w:val="24"/>
        </w:rPr>
        <w:t>A679071 NOVI PODPROJEKT</w:t>
      </w:r>
      <w:r w:rsidR="00E71D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71D0A" w:rsidRPr="00D06516">
        <w:rPr>
          <w:rFonts w:ascii="Times New Roman" w:hAnsi="Times New Roman" w:cs="Times New Roman"/>
          <w:b/>
          <w:sz w:val="24"/>
          <w:szCs w:val="24"/>
        </w:rPr>
        <w:t xml:space="preserve">Razvoj inovativnih zelenih kompozitnih materijala i </w:t>
      </w:r>
      <w:proofErr w:type="spellStart"/>
      <w:r w:rsidR="00E71D0A" w:rsidRPr="00D06516">
        <w:rPr>
          <w:rFonts w:ascii="Times New Roman" w:hAnsi="Times New Roman" w:cs="Times New Roman"/>
          <w:b/>
          <w:sz w:val="24"/>
          <w:szCs w:val="24"/>
        </w:rPr>
        <w:t>predgotovljenih</w:t>
      </w:r>
      <w:proofErr w:type="spellEnd"/>
      <w:r w:rsidR="00E71D0A" w:rsidRPr="00D06516">
        <w:rPr>
          <w:rFonts w:ascii="Times New Roman" w:hAnsi="Times New Roman" w:cs="Times New Roman"/>
          <w:b/>
          <w:sz w:val="24"/>
          <w:szCs w:val="24"/>
        </w:rPr>
        <w:t xml:space="preserve"> elemenata za pasivne /</w:t>
      </w:r>
      <w:proofErr w:type="spellStart"/>
      <w:r w:rsidR="00E71D0A" w:rsidRPr="00D06516">
        <w:rPr>
          <w:rFonts w:ascii="Times New Roman" w:hAnsi="Times New Roman" w:cs="Times New Roman"/>
          <w:b/>
          <w:sz w:val="24"/>
          <w:szCs w:val="24"/>
        </w:rPr>
        <w:t>niskoenergetske</w:t>
      </w:r>
      <w:proofErr w:type="spellEnd"/>
      <w:r w:rsidR="00E71D0A" w:rsidRPr="00D06516">
        <w:rPr>
          <w:rFonts w:ascii="Times New Roman" w:hAnsi="Times New Roman" w:cs="Times New Roman"/>
          <w:b/>
          <w:sz w:val="24"/>
          <w:szCs w:val="24"/>
        </w:rPr>
        <w:t xml:space="preserve"> kuće i modularnu gradnju  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CC17AB" w:rsidRPr="002A5E6A" w14:paraId="2B407FD2" w14:textId="77777777" w:rsidTr="00CF2BC5">
        <w:trPr>
          <w:trHeight w:val="483"/>
          <w:jc w:val="center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558D90D9" w14:textId="77777777" w:rsidR="00CC17AB" w:rsidRPr="002A5E6A" w:rsidRDefault="00CC17AB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2FAC527" w14:textId="77777777" w:rsidR="00CC17AB" w:rsidRPr="002A5E6A" w:rsidRDefault="00CC17AB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Plan 2025.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96A275B" w14:textId="77777777" w:rsidR="00CC17AB" w:rsidRPr="009E443D" w:rsidRDefault="00CC17AB" w:rsidP="00FA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Povećanje/</w:t>
            </w:r>
          </w:p>
          <w:p w14:paraId="5874C51E" w14:textId="77777777" w:rsidR="00CC17AB" w:rsidRPr="002A5E6A" w:rsidRDefault="00CC17AB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smanjenje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2BB01CB" w14:textId="77777777" w:rsidR="00CC17AB" w:rsidRPr="002A5E6A" w:rsidRDefault="00CC17AB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Novi plan 2025.</w:t>
            </w:r>
          </w:p>
        </w:tc>
      </w:tr>
      <w:tr w:rsidR="00CC17AB" w:rsidRPr="002A5E6A" w14:paraId="538E813A" w14:textId="77777777" w:rsidTr="00BA3A1E">
        <w:trPr>
          <w:trHeight w:val="689"/>
          <w:jc w:val="center"/>
        </w:trPr>
        <w:tc>
          <w:tcPr>
            <w:tcW w:w="3402" w:type="dxa"/>
            <w:vAlign w:val="center"/>
          </w:tcPr>
          <w:p w14:paraId="5FE70561" w14:textId="0699B6EC" w:rsidR="00CC17AB" w:rsidRPr="002A5E6A" w:rsidRDefault="00CC17AB" w:rsidP="00BA3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6A">
              <w:rPr>
                <w:rFonts w:ascii="Times New Roman" w:hAnsi="Times New Roman" w:cs="Times New Roman"/>
              </w:rPr>
              <w:t>A679071</w:t>
            </w:r>
            <w:r>
              <w:rPr>
                <w:rFonts w:ascii="Times New Roman" w:hAnsi="Times New Roman" w:cs="Times New Roman"/>
              </w:rPr>
              <w:t xml:space="preserve"> NOVI PODPROJEKT</w:t>
            </w:r>
          </w:p>
        </w:tc>
        <w:tc>
          <w:tcPr>
            <w:tcW w:w="1701" w:type="dxa"/>
            <w:vAlign w:val="bottom"/>
          </w:tcPr>
          <w:p w14:paraId="3CC63A72" w14:textId="29D2C36D" w:rsidR="00CC17AB" w:rsidRPr="002A5E6A" w:rsidRDefault="00604D4E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27.108,00</w:t>
            </w:r>
          </w:p>
        </w:tc>
        <w:tc>
          <w:tcPr>
            <w:tcW w:w="1701" w:type="dxa"/>
            <w:vAlign w:val="bottom"/>
          </w:tcPr>
          <w:p w14:paraId="1BBD09F3" w14:textId="1EFB3D7B" w:rsidR="00CC17AB" w:rsidRPr="002A5E6A" w:rsidRDefault="003E629F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bottom"/>
          </w:tcPr>
          <w:p w14:paraId="3E335D49" w14:textId="25A17461" w:rsidR="00CC17AB" w:rsidRPr="002A5E6A" w:rsidRDefault="00DD6507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27.108</w:t>
            </w:r>
            <w:r w:rsidR="00604D4E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47EFCCB8" w14:textId="77777777" w:rsidR="00CC17AB" w:rsidRDefault="00CC17AB" w:rsidP="00246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1DE6F" w14:textId="3D56D9D6" w:rsidR="00EB48FE" w:rsidRDefault="00E71D0A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projekta: </w:t>
      </w:r>
      <w:r w:rsidRPr="00D06516">
        <w:rPr>
          <w:rFonts w:ascii="Times New Roman" w:hAnsi="Times New Roman" w:cs="Times New Roman"/>
          <w:sz w:val="24"/>
          <w:szCs w:val="24"/>
        </w:rPr>
        <w:t xml:space="preserve">Razvoj inovativnih zelenih kompozitnih materijala i </w:t>
      </w:r>
      <w:proofErr w:type="spellStart"/>
      <w:r w:rsidRPr="00D06516">
        <w:rPr>
          <w:rFonts w:ascii="Times New Roman" w:hAnsi="Times New Roman" w:cs="Times New Roman"/>
          <w:sz w:val="24"/>
          <w:szCs w:val="24"/>
        </w:rPr>
        <w:t>predgotovljenih</w:t>
      </w:r>
      <w:proofErr w:type="spellEnd"/>
      <w:r w:rsidRPr="00D06516">
        <w:rPr>
          <w:rFonts w:ascii="Times New Roman" w:hAnsi="Times New Roman" w:cs="Times New Roman"/>
          <w:sz w:val="24"/>
          <w:szCs w:val="24"/>
        </w:rPr>
        <w:t xml:space="preserve"> elemenata za pasivne /</w:t>
      </w:r>
      <w:proofErr w:type="spellStart"/>
      <w:r w:rsidRPr="00D06516">
        <w:rPr>
          <w:rFonts w:ascii="Times New Roman" w:hAnsi="Times New Roman" w:cs="Times New Roman"/>
          <w:sz w:val="24"/>
          <w:szCs w:val="24"/>
        </w:rPr>
        <w:t>niskoenergetske</w:t>
      </w:r>
      <w:proofErr w:type="spellEnd"/>
      <w:r w:rsidRPr="00D06516">
        <w:rPr>
          <w:rFonts w:ascii="Times New Roman" w:hAnsi="Times New Roman" w:cs="Times New Roman"/>
          <w:sz w:val="24"/>
          <w:szCs w:val="24"/>
        </w:rPr>
        <w:t xml:space="preserve"> kuće i modularnu gradnju  </w:t>
      </w:r>
    </w:p>
    <w:p w14:paraId="74658469" w14:textId="6B351DB2" w:rsidR="004A03B1" w:rsidRDefault="004A03B1" w:rsidP="00EE1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>Opis projekta: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516">
        <w:rPr>
          <w:rFonts w:ascii="Times New Roman" w:hAnsi="Times New Roman" w:cs="Times New Roman"/>
          <w:sz w:val="24"/>
          <w:szCs w:val="24"/>
        </w:rPr>
        <w:t xml:space="preserve">Glavni cilj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D06516">
        <w:rPr>
          <w:rFonts w:ascii="Times New Roman" w:hAnsi="Times New Roman" w:cs="Times New Roman"/>
          <w:sz w:val="24"/>
          <w:szCs w:val="24"/>
        </w:rPr>
        <w:t xml:space="preserve">uspostaviti laboratorijsko okruženje za ispitivanje i validaciju osnovnih mješavina betona s </w:t>
      </w:r>
      <w:proofErr w:type="spellStart"/>
      <w:r w:rsidRPr="00D06516">
        <w:rPr>
          <w:rFonts w:ascii="Times New Roman" w:hAnsi="Times New Roman" w:cs="Times New Roman"/>
          <w:sz w:val="24"/>
          <w:szCs w:val="24"/>
        </w:rPr>
        <w:t>bioagregatom</w:t>
      </w:r>
      <w:proofErr w:type="spellEnd"/>
      <w:r w:rsidRPr="00D06516">
        <w:rPr>
          <w:rFonts w:ascii="Times New Roman" w:hAnsi="Times New Roman" w:cs="Times New Roman"/>
          <w:sz w:val="24"/>
          <w:szCs w:val="24"/>
        </w:rPr>
        <w:t xml:space="preserve">, omogućavajući preciznu kontrolu, analizu i optimizaciju betonskih kompozita s </w:t>
      </w:r>
      <w:proofErr w:type="spellStart"/>
      <w:r w:rsidRPr="00D06516">
        <w:rPr>
          <w:rFonts w:ascii="Times New Roman" w:hAnsi="Times New Roman" w:cs="Times New Roman"/>
          <w:sz w:val="24"/>
          <w:szCs w:val="24"/>
        </w:rPr>
        <w:t>bioagregatom</w:t>
      </w:r>
      <w:proofErr w:type="spellEnd"/>
      <w:r w:rsidRPr="00D06516">
        <w:rPr>
          <w:rFonts w:ascii="Times New Roman" w:hAnsi="Times New Roman" w:cs="Times New Roman"/>
          <w:sz w:val="24"/>
          <w:szCs w:val="24"/>
        </w:rPr>
        <w:t xml:space="preserve"> kako bi se osigurala njihova kvaliteta i zahtijevana svojstva za određenu primjenu.</w:t>
      </w:r>
    </w:p>
    <w:p w14:paraId="002A3500" w14:textId="4BD983C4" w:rsidR="00F32269" w:rsidRPr="00D06516" w:rsidRDefault="008E2285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8A39A4">
        <w:rPr>
          <w:rFonts w:ascii="Times New Roman" w:hAnsi="Times New Roman" w:cs="Times New Roman"/>
          <w:sz w:val="24"/>
          <w:szCs w:val="24"/>
        </w:rPr>
        <w:t>Nositelj projekta</w:t>
      </w:r>
      <w:r>
        <w:rPr>
          <w:rFonts w:ascii="Times New Roman" w:hAnsi="Times New Roman" w:cs="Times New Roman"/>
          <w:sz w:val="24"/>
          <w:szCs w:val="24"/>
        </w:rPr>
        <w:t>/uplatitelj sredstava</w:t>
      </w:r>
      <w:r w:rsidRPr="008A39A4">
        <w:rPr>
          <w:rFonts w:ascii="Times New Roman" w:hAnsi="Times New Roman" w:cs="Times New Roman"/>
          <w:sz w:val="24"/>
          <w:szCs w:val="24"/>
        </w:rPr>
        <w:t>:</w:t>
      </w:r>
      <w:r w:rsidR="00F32269" w:rsidRPr="00D06516">
        <w:rPr>
          <w:rFonts w:ascii="Times New Roman" w:hAnsi="Times New Roman" w:cs="Times New Roman"/>
          <w:sz w:val="24"/>
          <w:szCs w:val="24"/>
        </w:rPr>
        <w:t>: Beton Lučko d.o.</w:t>
      </w:r>
      <w:r w:rsidR="00F32269">
        <w:rPr>
          <w:rFonts w:ascii="Times New Roman" w:hAnsi="Times New Roman" w:cs="Times New Roman"/>
          <w:sz w:val="24"/>
          <w:szCs w:val="24"/>
        </w:rPr>
        <w:t>o.</w:t>
      </w:r>
    </w:p>
    <w:p w14:paraId="24EF131B" w14:textId="74A60BAF" w:rsidR="00EB48FE" w:rsidRPr="00EF4D2B" w:rsidRDefault="00EB48FE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>Trajanje projekta je od 1.1.202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4D2B"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>o 31.12.</w:t>
      </w:r>
      <w:r w:rsidRPr="00EF4D2B">
        <w:rPr>
          <w:rFonts w:ascii="Times New Roman" w:hAnsi="Times New Roman" w:cs="Times New Roman"/>
          <w:sz w:val="24"/>
          <w:szCs w:val="24"/>
        </w:rPr>
        <w:t>2025.</w:t>
      </w:r>
    </w:p>
    <w:p w14:paraId="02BCB0EE" w14:textId="5554FB17" w:rsidR="00EB48FE" w:rsidRDefault="00EB48FE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 xml:space="preserve">Ukupna ugovorena vrijednost projekta je: </w:t>
      </w:r>
      <w:r>
        <w:rPr>
          <w:rFonts w:ascii="Times New Roman" w:hAnsi="Times New Roman" w:cs="Times New Roman"/>
          <w:sz w:val="24"/>
          <w:szCs w:val="24"/>
        </w:rPr>
        <w:t>3.907.169,98 eura</w:t>
      </w:r>
      <w:r w:rsidR="007501EE">
        <w:rPr>
          <w:rFonts w:ascii="Times New Roman" w:hAnsi="Times New Roman" w:cs="Times New Roman"/>
          <w:sz w:val="24"/>
          <w:szCs w:val="24"/>
        </w:rPr>
        <w:t>.</w:t>
      </w:r>
    </w:p>
    <w:p w14:paraId="6CA857A7" w14:textId="24BD42C1" w:rsidR="00C75304" w:rsidRDefault="00C75304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 xml:space="preserve">Ukupna ugovorena vrijednost projekta za </w:t>
      </w:r>
      <w:r>
        <w:rPr>
          <w:rFonts w:ascii="Times New Roman" w:hAnsi="Times New Roman" w:cs="Times New Roman"/>
          <w:sz w:val="24"/>
          <w:szCs w:val="24"/>
        </w:rPr>
        <w:t>Fakultet</w:t>
      </w:r>
      <w:r w:rsidRPr="00EF4D2B">
        <w:rPr>
          <w:rFonts w:ascii="Times New Roman" w:hAnsi="Times New Roman" w:cs="Times New Roman"/>
          <w:sz w:val="24"/>
          <w:szCs w:val="24"/>
        </w:rPr>
        <w:t xml:space="preserve"> je: </w:t>
      </w:r>
      <w:r>
        <w:rPr>
          <w:rFonts w:ascii="Times New Roman" w:hAnsi="Times New Roman" w:cs="Times New Roman"/>
          <w:sz w:val="24"/>
          <w:szCs w:val="24"/>
        </w:rPr>
        <w:t xml:space="preserve">505.990,62 </w:t>
      </w:r>
      <w:r w:rsidRPr="00EF4D2B">
        <w:rPr>
          <w:rFonts w:ascii="Times New Roman" w:hAnsi="Times New Roman" w:cs="Times New Roman"/>
          <w:sz w:val="24"/>
          <w:szCs w:val="24"/>
        </w:rPr>
        <w:t xml:space="preserve">eura. </w:t>
      </w:r>
    </w:p>
    <w:p w14:paraId="549A9E94" w14:textId="383181A4" w:rsidR="00C75304" w:rsidRPr="00C75304" w:rsidRDefault="00C75304" w:rsidP="00246E6D">
      <w:pPr>
        <w:tabs>
          <w:tab w:val="left" w:pos="2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5304">
        <w:rPr>
          <w:rFonts w:ascii="Times New Roman" w:hAnsi="Times New Roman" w:cs="Times New Roman"/>
          <w:sz w:val="24"/>
          <w:szCs w:val="24"/>
        </w:rPr>
        <w:t>Dodijeljeni iznos bespovratnih sredstava: 178.086,95 eura</w:t>
      </w:r>
      <w:r w:rsidR="007501EE">
        <w:rPr>
          <w:rFonts w:ascii="Times New Roman" w:hAnsi="Times New Roman" w:cs="Times New Roman"/>
          <w:sz w:val="24"/>
          <w:szCs w:val="24"/>
        </w:rPr>
        <w:t>.</w:t>
      </w:r>
    </w:p>
    <w:p w14:paraId="1C36D6AD" w14:textId="255CF539" w:rsidR="00E71D0A" w:rsidRDefault="00E71D0A" w:rsidP="00246E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 xml:space="preserve">U 2025. godini ukupno su planirana sredstva u iznosu od </w:t>
      </w:r>
      <w:r w:rsidR="00DD6507">
        <w:rPr>
          <w:rFonts w:ascii="Times New Roman" w:hAnsi="Times New Roman" w:cs="Times New Roman"/>
          <w:sz w:val="24"/>
          <w:szCs w:val="24"/>
        </w:rPr>
        <w:t>27.108,00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ED67D7D" w14:textId="0BB1480E" w:rsidR="00E71D0A" w:rsidRPr="00D06516" w:rsidRDefault="00E71D0A" w:rsidP="00246E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>Aktivnosti projekta u 2025. godini:</w:t>
      </w:r>
    </w:p>
    <w:p w14:paraId="05993207" w14:textId="6EDDC615" w:rsidR="00E71D0A" w:rsidRPr="00FA302F" w:rsidRDefault="00E71D0A" w:rsidP="00FA302F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02F">
        <w:rPr>
          <w:rFonts w:ascii="Times New Roman" w:hAnsi="Times New Roman" w:cs="Times New Roman"/>
          <w:sz w:val="24"/>
          <w:szCs w:val="24"/>
        </w:rPr>
        <w:t xml:space="preserve">Obrada dostupnih podataka o utjecaju vrsta </w:t>
      </w:r>
      <w:proofErr w:type="spellStart"/>
      <w:r w:rsidRPr="00FA302F">
        <w:rPr>
          <w:rFonts w:ascii="Times New Roman" w:hAnsi="Times New Roman" w:cs="Times New Roman"/>
          <w:sz w:val="24"/>
          <w:szCs w:val="24"/>
        </w:rPr>
        <w:t>bioagregata</w:t>
      </w:r>
      <w:proofErr w:type="spellEnd"/>
      <w:r w:rsidRPr="00FA302F">
        <w:rPr>
          <w:rFonts w:ascii="Times New Roman" w:hAnsi="Times New Roman" w:cs="Times New Roman"/>
          <w:sz w:val="24"/>
          <w:szCs w:val="24"/>
        </w:rPr>
        <w:t xml:space="preserve"> i pepela od drvne biomase te pripremi agregata za miješanje, načinu </w:t>
      </w:r>
      <w:proofErr w:type="spellStart"/>
      <w:r w:rsidRPr="00FA302F">
        <w:rPr>
          <w:rFonts w:ascii="Times New Roman" w:hAnsi="Times New Roman" w:cs="Times New Roman"/>
          <w:sz w:val="24"/>
          <w:szCs w:val="24"/>
        </w:rPr>
        <w:t>mješanja</w:t>
      </w:r>
      <w:proofErr w:type="spellEnd"/>
      <w:r w:rsidRPr="00FA302F">
        <w:rPr>
          <w:rFonts w:ascii="Times New Roman" w:hAnsi="Times New Roman" w:cs="Times New Roman"/>
          <w:sz w:val="24"/>
          <w:szCs w:val="24"/>
        </w:rPr>
        <w:t>, ugradnji i njegovanju cementnih kompozita</w:t>
      </w:r>
    </w:p>
    <w:p w14:paraId="6120F5B5" w14:textId="7B777EDC" w:rsidR="00E71D0A" w:rsidRPr="00FA302F" w:rsidRDefault="00E71D0A" w:rsidP="00FA302F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02F">
        <w:rPr>
          <w:rFonts w:ascii="Times New Roman" w:hAnsi="Times New Roman" w:cs="Times New Roman"/>
          <w:sz w:val="24"/>
          <w:szCs w:val="24"/>
        </w:rPr>
        <w:t xml:space="preserve">Utvrđivanje postojećih vrsta i svojstava postojećih građevnih proizvoda na bazi </w:t>
      </w:r>
      <w:proofErr w:type="spellStart"/>
      <w:r w:rsidRPr="00FA302F">
        <w:rPr>
          <w:rFonts w:ascii="Times New Roman" w:hAnsi="Times New Roman" w:cs="Times New Roman"/>
          <w:sz w:val="24"/>
          <w:szCs w:val="24"/>
        </w:rPr>
        <w:t>bioagregata</w:t>
      </w:r>
      <w:proofErr w:type="spellEnd"/>
      <w:r w:rsidRPr="00FA302F">
        <w:rPr>
          <w:rFonts w:ascii="Times New Roman" w:hAnsi="Times New Roman" w:cs="Times New Roman"/>
          <w:sz w:val="24"/>
          <w:szCs w:val="24"/>
        </w:rPr>
        <w:t xml:space="preserve"> i pepela od drvne biomase za primjenu u </w:t>
      </w:r>
      <w:proofErr w:type="spellStart"/>
      <w:r w:rsidRPr="00FA302F">
        <w:rPr>
          <w:rFonts w:ascii="Times New Roman" w:hAnsi="Times New Roman" w:cs="Times New Roman"/>
          <w:sz w:val="24"/>
          <w:szCs w:val="24"/>
        </w:rPr>
        <w:t>zgradarstvu</w:t>
      </w:r>
      <w:proofErr w:type="spellEnd"/>
      <w:r w:rsidRPr="00FA30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7EFF50" w14:textId="1F01C3B9" w:rsidR="00E71D0A" w:rsidRPr="00FA302F" w:rsidRDefault="00E71D0A" w:rsidP="00FA302F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02F">
        <w:rPr>
          <w:rFonts w:ascii="Times New Roman" w:hAnsi="Times New Roman" w:cs="Times New Roman"/>
          <w:sz w:val="24"/>
          <w:szCs w:val="24"/>
        </w:rPr>
        <w:t xml:space="preserve">Izrada izvještaja o utjecaju </w:t>
      </w:r>
      <w:proofErr w:type="spellStart"/>
      <w:r w:rsidRPr="00FA302F">
        <w:rPr>
          <w:rFonts w:ascii="Times New Roman" w:hAnsi="Times New Roman" w:cs="Times New Roman"/>
          <w:sz w:val="24"/>
          <w:szCs w:val="24"/>
        </w:rPr>
        <w:t>bioagregata</w:t>
      </w:r>
      <w:proofErr w:type="spellEnd"/>
      <w:r w:rsidRPr="00FA302F">
        <w:rPr>
          <w:rFonts w:ascii="Times New Roman" w:hAnsi="Times New Roman" w:cs="Times New Roman"/>
          <w:sz w:val="24"/>
          <w:szCs w:val="24"/>
        </w:rPr>
        <w:t xml:space="preserve"> i pepela od drvne biomase na svojstva</w:t>
      </w:r>
    </w:p>
    <w:p w14:paraId="375854F2" w14:textId="77777777" w:rsidR="00FA302F" w:rsidRDefault="00E71D0A" w:rsidP="00FA302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6516">
        <w:rPr>
          <w:rFonts w:ascii="Times New Roman" w:hAnsi="Times New Roman" w:cs="Times New Roman"/>
          <w:sz w:val="24"/>
          <w:szCs w:val="24"/>
        </w:rPr>
        <w:t xml:space="preserve">novog materijala, načinu pripreme sastojaka, </w:t>
      </w:r>
      <w:proofErr w:type="spellStart"/>
      <w:r w:rsidRPr="00D06516">
        <w:rPr>
          <w:rFonts w:ascii="Times New Roman" w:hAnsi="Times New Roman" w:cs="Times New Roman"/>
          <w:sz w:val="24"/>
          <w:szCs w:val="24"/>
        </w:rPr>
        <w:t>mješanju</w:t>
      </w:r>
      <w:proofErr w:type="spellEnd"/>
      <w:r w:rsidRPr="00D06516">
        <w:rPr>
          <w:rFonts w:ascii="Times New Roman" w:hAnsi="Times New Roman" w:cs="Times New Roman"/>
          <w:sz w:val="24"/>
          <w:szCs w:val="24"/>
        </w:rPr>
        <w:t>, ugradnji i njegovanju</w:t>
      </w:r>
    </w:p>
    <w:p w14:paraId="13459555" w14:textId="3080B95A" w:rsidR="00E71D0A" w:rsidRPr="00FA302F" w:rsidRDefault="00E71D0A" w:rsidP="00FA302F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02F">
        <w:rPr>
          <w:rFonts w:ascii="Times New Roman" w:hAnsi="Times New Roman" w:cs="Times New Roman"/>
          <w:sz w:val="24"/>
          <w:szCs w:val="24"/>
        </w:rPr>
        <w:t xml:space="preserve">Projektiranje sastava betona s </w:t>
      </w:r>
      <w:proofErr w:type="spellStart"/>
      <w:r w:rsidRPr="00FA302F">
        <w:rPr>
          <w:rFonts w:ascii="Times New Roman" w:hAnsi="Times New Roman" w:cs="Times New Roman"/>
          <w:sz w:val="24"/>
          <w:szCs w:val="24"/>
        </w:rPr>
        <w:t>bioagregatom</w:t>
      </w:r>
      <w:proofErr w:type="spellEnd"/>
      <w:r w:rsidRPr="00FA302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A302F">
        <w:rPr>
          <w:rFonts w:ascii="Times New Roman" w:hAnsi="Times New Roman" w:cs="Times New Roman"/>
          <w:sz w:val="24"/>
          <w:szCs w:val="24"/>
        </w:rPr>
        <w:t>biopepelom</w:t>
      </w:r>
      <w:proofErr w:type="spellEnd"/>
      <w:r w:rsidRPr="00FA302F">
        <w:rPr>
          <w:rFonts w:ascii="Times New Roman" w:hAnsi="Times New Roman" w:cs="Times New Roman"/>
          <w:sz w:val="24"/>
          <w:szCs w:val="24"/>
        </w:rPr>
        <w:t xml:space="preserve"> (receptura)</w:t>
      </w:r>
      <w:r w:rsidR="009B759D" w:rsidRPr="00FA302F">
        <w:rPr>
          <w:rFonts w:ascii="Times New Roman" w:hAnsi="Times New Roman" w:cs="Times New Roman"/>
          <w:sz w:val="24"/>
          <w:szCs w:val="24"/>
        </w:rPr>
        <w:t>.</w:t>
      </w:r>
    </w:p>
    <w:p w14:paraId="32A51292" w14:textId="77777777" w:rsidR="00CC17AB" w:rsidRPr="00CC17AB" w:rsidRDefault="00CC17AB" w:rsidP="009436DA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39922" w14:textId="1397CBE8" w:rsidR="00900872" w:rsidRDefault="00900872" w:rsidP="00246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AB3C62" w14:textId="06111D6A" w:rsidR="00513B52" w:rsidRDefault="00513B52" w:rsidP="00246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A21AA3" w14:textId="77777777" w:rsidR="00513B52" w:rsidRPr="00D06516" w:rsidRDefault="00513B52" w:rsidP="00246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6A23D" w14:textId="77777777" w:rsidR="00CE7F99" w:rsidRPr="00CE7F99" w:rsidRDefault="009652E5" w:rsidP="00246E6D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F99">
        <w:rPr>
          <w:rFonts w:ascii="Times New Roman" w:eastAsia="Calibri" w:hAnsi="Times New Roman" w:cs="Times New Roman"/>
          <w:b/>
          <w:sz w:val="24"/>
          <w:szCs w:val="24"/>
        </w:rPr>
        <w:t>A679071 NOVI PODPROJEKT</w:t>
      </w:r>
      <w:r w:rsidR="00CE7F99" w:rsidRPr="00CE7F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E7F99" w:rsidRPr="00CE7F99">
        <w:rPr>
          <w:rFonts w:ascii="Times New Roman" w:hAnsi="Times New Roman" w:cs="Times New Roman"/>
          <w:b/>
          <w:sz w:val="24"/>
          <w:szCs w:val="24"/>
        </w:rPr>
        <w:t>Strateško partnerstvo za novu generaciju proizvoda od drva – WOOD (R)EVOLUTION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CC17AB" w:rsidRPr="002A5E6A" w14:paraId="7A792033" w14:textId="77777777" w:rsidTr="00CF2BC5">
        <w:trPr>
          <w:trHeight w:val="483"/>
          <w:jc w:val="center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560FE6EB" w14:textId="77777777" w:rsidR="00CC17AB" w:rsidRPr="002A5E6A" w:rsidRDefault="00CC17AB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B1A9EB0" w14:textId="77777777" w:rsidR="00CC17AB" w:rsidRPr="002A5E6A" w:rsidRDefault="00CC17AB" w:rsidP="00FA3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Plan 2025.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7468D33" w14:textId="77777777" w:rsidR="00CC17AB" w:rsidRPr="009E443D" w:rsidRDefault="00CC17AB" w:rsidP="00FA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443D">
              <w:rPr>
                <w:rFonts w:ascii="Times New Roman" w:hAnsi="Times New Roman" w:cs="Times New Roman"/>
                <w:b/>
              </w:rPr>
              <w:t>Povećanje/</w:t>
            </w:r>
          </w:p>
          <w:p w14:paraId="38A3870A" w14:textId="77777777" w:rsidR="00CC17AB" w:rsidRPr="002A5E6A" w:rsidRDefault="00CC17AB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smanjenje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480563C" w14:textId="77777777" w:rsidR="00CC17AB" w:rsidRPr="002A5E6A" w:rsidRDefault="00CC17AB" w:rsidP="00FA30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443D">
              <w:rPr>
                <w:rFonts w:ascii="Times New Roman" w:hAnsi="Times New Roman" w:cs="Times New Roman"/>
                <w:b/>
              </w:rPr>
              <w:t>Novi plan 2025.</w:t>
            </w:r>
          </w:p>
        </w:tc>
      </w:tr>
      <w:tr w:rsidR="00CC17AB" w:rsidRPr="002A5E6A" w14:paraId="52851617" w14:textId="77777777" w:rsidTr="00BA3A1E">
        <w:trPr>
          <w:trHeight w:val="741"/>
          <w:jc w:val="center"/>
        </w:trPr>
        <w:tc>
          <w:tcPr>
            <w:tcW w:w="3402" w:type="dxa"/>
            <w:vAlign w:val="center"/>
          </w:tcPr>
          <w:p w14:paraId="74453383" w14:textId="51FA69CA" w:rsidR="00CC17AB" w:rsidRPr="002A5E6A" w:rsidRDefault="00CC17AB" w:rsidP="00BA3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6A">
              <w:rPr>
                <w:rFonts w:ascii="Times New Roman" w:hAnsi="Times New Roman" w:cs="Times New Roman"/>
              </w:rPr>
              <w:t>A679071</w:t>
            </w:r>
            <w:r>
              <w:rPr>
                <w:rFonts w:ascii="Times New Roman" w:hAnsi="Times New Roman" w:cs="Times New Roman"/>
              </w:rPr>
              <w:t xml:space="preserve"> NOVI PODPROJEKT</w:t>
            </w:r>
          </w:p>
        </w:tc>
        <w:tc>
          <w:tcPr>
            <w:tcW w:w="1701" w:type="dxa"/>
            <w:vAlign w:val="bottom"/>
          </w:tcPr>
          <w:p w14:paraId="1DD60C3F" w14:textId="6C5618AE" w:rsidR="00CC17AB" w:rsidRPr="002A5E6A" w:rsidRDefault="00604D4E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28.829,00</w:t>
            </w:r>
          </w:p>
        </w:tc>
        <w:tc>
          <w:tcPr>
            <w:tcW w:w="1701" w:type="dxa"/>
            <w:vAlign w:val="bottom"/>
          </w:tcPr>
          <w:p w14:paraId="37A096D7" w14:textId="68EABC58" w:rsidR="00CC17AB" w:rsidRPr="002A5E6A" w:rsidRDefault="003E629F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bottom"/>
          </w:tcPr>
          <w:p w14:paraId="26C79AA9" w14:textId="2B441735" w:rsidR="00CC17AB" w:rsidRPr="002A5E6A" w:rsidRDefault="00604D4E" w:rsidP="00FA30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6507">
              <w:rPr>
                <w:rFonts w:ascii="Times New Roman" w:hAnsi="Times New Roman" w:cs="Times New Roman"/>
              </w:rPr>
              <w:t>8.829,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</w:tbl>
    <w:p w14:paraId="197FC75C" w14:textId="77777777" w:rsidR="00CC17AB" w:rsidRDefault="00CC17AB" w:rsidP="00246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AE5C9" w14:textId="1EBB7B8E" w:rsidR="00CE7F99" w:rsidRDefault="00CE7F99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226FBA">
        <w:rPr>
          <w:rFonts w:ascii="Times New Roman" w:hAnsi="Times New Roman" w:cs="Times New Roman"/>
          <w:sz w:val="24"/>
          <w:szCs w:val="24"/>
        </w:rPr>
        <w:t xml:space="preserve">Naziv projekta: Strateško partnerstvo za novu generaciju proizvoda od drva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26FBA">
        <w:rPr>
          <w:rFonts w:ascii="Times New Roman" w:hAnsi="Times New Roman" w:cs="Times New Roman"/>
          <w:sz w:val="24"/>
          <w:szCs w:val="24"/>
        </w:rPr>
        <w:t xml:space="preserve"> WOOD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FBA">
        <w:rPr>
          <w:rFonts w:ascii="Times New Roman" w:hAnsi="Times New Roman" w:cs="Times New Roman"/>
          <w:sz w:val="24"/>
          <w:szCs w:val="24"/>
        </w:rPr>
        <w:t>(R)EVOLUTION</w:t>
      </w:r>
    </w:p>
    <w:p w14:paraId="0D1F73F0" w14:textId="6F66D463" w:rsidR="0023382D" w:rsidRPr="00B40EC8" w:rsidRDefault="004A03B1" w:rsidP="00EE1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D2B">
        <w:rPr>
          <w:rFonts w:ascii="Times New Roman" w:hAnsi="Times New Roman" w:cs="Times New Roman"/>
          <w:sz w:val="24"/>
          <w:szCs w:val="24"/>
        </w:rPr>
        <w:t>Opis projekta</w:t>
      </w:r>
      <w:r w:rsidR="0023382D">
        <w:rPr>
          <w:rFonts w:ascii="Times New Roman" w:hAnsi="Times New Roman" w:cs="Times New Roman"/>
          <w:sz w:val="24"/>
          <w:szCs w:val="24"/>
        </w:rPr>
        <w:t xml:space="preserve">: </w:t>
      </w:r>
      <w:r w:rsidR="0023382D" w:rsidRPr="00B40EC8">
        <w:rPr>
          <w:rFonts w:ascii="Times New Roman" w:hAnsi="Times New Roman" w:cs="Times New Roman"/>
          <w:sz w:val="24"/>
          <w:szCs w:val="24"/>
        </w:rPr>
        <w:t xml:space="preserve">Projektom će se istražiti mogućnosti razvoja lijepljene drvene ploče sa šupljinama značajno laganije u odnosu na klasične ploče od pravog drva s ciljem razvoja inovacija unutar prioritetne niše Drvni interijeri i proizvodnja namještaja po mjeri RLV-a </w:t>
      </w:r>
      <w:r w:rsidR="0023382D" w:rsidRPr="00B40EC8">
        <w:rPr>
          <w:rFonts w:ascii="Times New Roman" w:hAnsi="Times New Roman" w:cs="Times New Roman"/>
          <w:sz w:val="24"/>
          <w:szCs w:val="24"/>
        </w:rPr>
        <w:lastRenderedPageBreak/>
        <w:t xml:space="preserve">Zeleni rast Panonske Hrvatske. Cilj je provesti IRI ulaganje u razvoj 2 inovativna proizvoda s visokim potencijalom internacionalizacije do razine TRL 8 : 1) inovativna drvo-aluminij unutarnja </w:t>
      </w:r>
      <w:proofErr w:type="spellStart"/>
      <w:r w:rsidR="0023382D" w:rsidRPr="00B40EC8">
        <w:rPr>
          <w:rFonts w:ascii="Times New Roman" w:hAnsi="Times New Roman" w:cs="Times New Roman"/>
          <w:sz w:val="24"/>
          <w:szCs w:val="24"/>
        </w:rPr>
        <w:t>Liteboard</w:t>
      </w:r>
      <w:proofErr w:type="spellEnd"/>
      <w:r w:rsidR="0023382D" w:rsidRPr="00B40EC8">
        <w:rPr>
          <w:rFonts w:ascii="Times New Roman" w:hAnsi="Times New Roman" w:cs="Times New Roman"/>
          <w:sz w:val="24"/>
          <w:szCs w:val="24"/>
        </w:rPr>
        <w:t xml:space="preserve"> vrata te 2) stol i komoda s klik spojem za </w:t>
      </w:r>
      <w:proofErr w:type="spellStart"/>
      <w:r w:rsidR="0023382D" w:rsidRPr="00B40EC8">
        <w:rPr>
          <w:rFonts w:ascii="Times New Roman" w:hAnsi="Times New Roman" w:cs="Times New Roman"/>
          <w:sz w:val="24"/>
          <w:szCs w:val="24"/>
        </w:rPr>
        <w:t>Threespine</w:t>
      </w:r>
      <w:proofErr w:type="spellEnd"/>
      <w:r w:rsidR="0023382D" w:rsidRPr="00B40EC8">
        <w:rPr>
          <w:rFonts w:ascii="Times New Roman" w:hAnsi="Times New Roman" w:cs="Times New Roman"/>
          <w:sz w:val="24"/>
          <w:szCs w:val="24"/>
        </w:rPr>
        <w:t xml:space="preserve"> tehnologiju. Projekt provodi SPIN konzorcij tvrtke BJELIN SPAČVA d.o.o., 3 partnera poduzetnika MSP-a i OIŠZ. Ciljne skupine: zaposlenici Prijavitelja i Partnera, akademska zajednica, kupci Prijavitelja i Partnera, društvo u cjelini.</w:t>
      </w:r>
    </w:p>
    <w:p w14:paraId="2306A306" w14:textId="77777777" w:rsidR="00EE156E" w:rsidRDefault="00EE156E" w:rsidP="00246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05660" w14:textId="56EED24C" w:rsidR="00F32269" w:rsidRDefault="008E2285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8A39A4">
        <w:rPr>
          <w:rFonts w:ascii="Times New Roman" w:hAnsi="Times New Roman" w:cs="Times New Roman"/>
          <w:sz w:val="24"/>
          <w:szCs w:val="24"/>
        </w:rPr>
        <w:t>Nositelj projekta</w:t>
      </w:r>
      <w:r>
        <w:rPr>
          <w:rFonts w:ascii="Times New Roman" w:hAnsi="Times New Roman" w:cs="Times New Roman"/>
          <w:sz w:val="24"/>
          <w:szCs w:val="24"/>
        </w:rPr>
        <w:t>/uplatitelj sredstava</w:t>
      </w:r>
      <w:r w:rsidRPr="008A39A4">
        <w:rPr>
          <w:rFonts w:ascii="Times New Roman" w:hAnsi="Times New Roman" w:cs="Times New Roman"/>
          <w:sz w:val="24"/>
          <w:szCs w:val="24"/>
        </w:rPr>
        <w:t xml:space="preserve">: </w:t>
      </w:r>
      <w:r w:rsidR="00F32269" w:rsidRPr="00CE7F99">
        <w:rPr>
          <w:rFonts w:ascii="Times New Roman" w:hAnsi="Times New Roman" w:cs="Times New Roman"/>
          <w:sz w:val="24"/>
          <w:szCs w:val="24"/>
        </w:rPr>
        <w:t>BJELIN SPAČVA d.o.o. za drvnu industriju</w:t>
      </w:r>
      <w:r w:rsidR="007501EE">
        <w:rPr>
          <w:rFonts w:ascii="Times New Roman" w:hAnsi="Times New Roman" w:cs="Times New Roman"/>
          <w:sz w:val="24"/>
          <w:szCs w:val="24"/>
        </w:rPr>
        <w:t>.</w:t>
      </w:r>
    </w:p>
    <w:p w14:paraId="64DCBA9C" w14:textId="77777777" w:rsidR="007C27BD" w:rsidRPr="00CE7F99" w:rsidRDefault="007C27BD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CE7F99">
        <w:rPr>
          <w:rFonts w:ascii="Times New Roman" w:hAnsi="Times New Roman" w:cs="Times New Roman"/>
          <w:sz w:val="24"/>
          <w:szCs w:val="24"/>
        </w:rPr>
        <w:t xml:space="preserve">Trajanje projekta: </w:t>
      </w:r>
      <w:r>
        <w:rPr>
          <w:rFonts w:ascii="Times New Roman" w:hAnsi="Times New Roman" w:cs="Times New Roman"/>
          <w:sz w:val="24"/>
          <w:szCs w:val="24"/>
        </w:rPr>
        <w:t>od 1.1.2025. do 31.12.2027.</w:t>
      </w:r>
    </w:p>
    <w:p w14:paraId="02EFE76A" w14:textId="70D8220C" w:rsidR="007C27BD" w:rsidRPr="00A51567" w:rsidRDefault="007C27BD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A51567">
        <w:rPr>
          <w:rFonts w:ascii="Times New Roman" w:hAnsi="Times New Roman" w:cs="Times New Roman"/>
          <w:sz w:val="24"/>
          <w:szCs w:val="24"/>
        </w:rPr>
        <w:t xml:space="preserve">Ukupna </w:t>
      </w:r>
      <w:r w:rsidR="005D5EEE" w:rsidRPr="00A51567">
        <w:rPr>
          <w:rFonts w:ascii="Times New Roman" w:hAnsi="Times New Roman" w:cs="Times New Roman"/>
          <w:sz w:val="24"/>
          <w:szCs w:val="24"/>
        </w:rPr>
        <w:t xml:space="preserve">ugovorena </w:t>
      </w:r>
      <w:r w:rsidRPr="00A51567">
        <w:rPr>
          <w:rFonts w:ascii="Times New Roman" w:hAnsi="Times New Roman" w:cs="Times New Roman"/>
          <w:sz w:val="24"/>
          <w:szCs w:val="24"/>
        </w:rPr>
        <w:t>vrijednost projekta:</w:t>
      </w:r>
      <w:r w:rsidRPr="00A51567">
        <w:t xml:space="preserve"> </w:t>
      </w:r>
      <w:r w:rsidRPr="00A51567">
        <w:rPr>
          <w:rFonts w:ascii="Times New Roman" w:hAnsi="Times New Roman" w:cs="Times New Roman"/>
          <w:sz w:val="24"/>
          <w:szCs w:val="24"/>
        </w:rPr>
        <w:t>4.260.360,34 eura.</w:t>
      </w:r>
    </w:p>
    <w:p w14:paraId="488D80D5" w14:textId="7E9B41BC" w:rsidR="007C27BD" w:rsidRPr="00A51567" w:rsidRDefault="007C27BD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A51567">
        <w:rPr>
          <w:rFonts w:ascii="Times New Roman" w:hAnsi="Times New Roman" w:cs="Times New Roman"/>
          <w:sz w:val="24"/>
          <w:szCs w:val="24"/>
        </w:rPr>
        <w:t xml:space="preserve">Ukupna ugovorena vrijednost projekta za </w:t>
      </w:r>
      <w:r w:rsidR="004A03B1" w:rsidRPr="00A51567">
        <w:rPr>
          <w:rFonts w:ascii="Times New Roman" w:hAnsi="Times New Roman" w:cs="Times New Roman"/>
          <w:sz w:val="24"/>
          <w:szCs w:val="24"/>
        </w:rPr>
        <w:t xml:space="preserve">Fakultet </w:t>
      </w:r>
      <w:r w:rsidRPr="00A51567">
        <w:rPr>
          <w:rFonts w:ascii="Times New Roman" w:hAnsi="Times New Roman" w:cs="Times New Roman"/>
          <w:sz w:val="24"/>
          <w:szCs w:val="24"/>
        </w:rPr>
        <w:t>je: 376.256,34 eura.</w:t>
      </w:r>
    </w:p>
    <w:p w14:paraId="6600F541" w14:textId="3022619B" w:rsidR="007C27BD" w:rsidRPr="00A51567" w:rsidRDefault="007C27BD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A51567">
        <w:rPr>
          <w:rFonts w:ascii="Times New Roman" w:hAnsi="Times New Roman" w:cs="Times New Roman"/>
          <w:sz w:val="24"/>
          <w:szCs w:val="24"/>
        </w:rPr>
        <w:t xml:space="preserve">Dodijeljeni iznos bespovratnih sredstava: </w:t>
      </w:r>
      <w:r w:rsidRPr="00A51567">
        <w:rPr>
          <w:rFonts w:ascii="Times New Roman" w:hAnsi="Times New Roman" w:cs="Times New Roman"/>
          <w:bCs/>
          <w:sz w:val="24"/>
          <w:szCs w:val="24"/>
        </w:rPr>
        <w:t>157.856,80 eura.</w:t>
      </w:r>
    </w:p>
    <w:p w14:paraId="10AF4B86" w14:textId="4B664748" w:rsidR="00CE7F99" w:rsidRPr="00226FBA" w:rsidRDefault="00CE7F99" w:rsidP="00246E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26FBA">
        <w:rPr>
          <w:rFonts w:ascii="Times New Roman" w:hAnsi="Times New Roman" w:cs="Times New Roman"/>
          <w:iCs/>
          <w:sz w:val="24"/>
          <w:szCs w:val="24"/>
        </w:rPr>
        <w:t>U 2025. godini ukupno su planirana sredstva u iznosu</w:t>
      </w:r>
      <w:r w:rsidRPr="00226FBA">
        <w:rPr>
          <w:rFonts w:ascii="Times New Roman" w:hAnsi="Times New Roman" w:cs="Times New Roman"/>
          <w:bCs/>
          <w:iCs/>
          <w:sz w:val="24"/>
          <w:szCs w:val="24"/>
        </w:rPr>
        <w:t xml:space="preserve"> od</w:t>
      </w:r>
      <w:r w:rsidR="005D5AD0">
        <w:rPr>
          <w:rFonts w:ascii="Times New Roman" w:hAnsi="Times New Roman" w:cs="Times New Roman"/>
          <w:sz w:val="24"/>
          <w:szCs w:val="24"/>
        </w:rPr>
        <w:t xml:space="preserve"> </w:t>
      </w:r>
      <w:r w:rsidR="00E9086B">
        <w:rPr>
          <w:rFonts w:ascii="Times New Roman" w:hAnsi="Times New Roman" w:cs="Times New Roman"/>
          <w:sz w:val="24"/>
          <w:szCs w:val="24"/>
        </w:rPr>
        <w:t>28.829</w:t>
      </w:r>
      <w:r w:rsidR="005D5AD0">
        <w:rPr>
          <w:rFonts w:ascii="Times New Roman" w:hAnsi="Times New Roman" w:cs="Times New Roman"/>
          <w:sz w:val="24"/>
          <w:szCs w:val="24"/>
        </w:rPr>
        <w:t xml:space="preserve">,00 </w:t>
      </w:r>
      <w:r w:rsidRPr="00226FBA">
        <w:rPr>
          <w:rFonts w:ascii="Times New Roman" w:hAnsi="Times New Roman" w:cs="Times New Roman"/>
          <w:sz w:val="24"/>
          <w:szCs w:val="24"/>
        </w:rPr>
        <w:t>eura.</w:t>
      </w:r>
    </w:p>
    <w:p w14:paraId="4E3069BE" w14:textId="5040AE15" w:rsidR="00CE7F99" w:rsidRPr="00226FBA" w:rsidRDefault="00CE7F99" w:rsidP="0003665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26FBA">
        <w:rPr>
          <w:rFonts w:ascii="Times New Roman" w:hAnsi="Times New Roman" w:cs="Times New Roman"/>
          <w:sz w:val="24"/>
          <w:szCs w:val="24"/>
        </w:rPr>
        <w:t>Aktivnosti projekta u 2025. godini:</w:t>
      </w:r>
      <w:r w:rsidR="00036659">
        <w:rPr>
          <w:rFonts w:ascii="Times New Roman" w:hAnsi="Times New Roman" w:cs="Times New Roman"/>
          <w:sz w:val="24"/>
          <w:szCs w:val="24"/>
        </w:rPr>
        <w:t xml:space="preserve"> </w:t>
      </w:r>
      <w:r w:rsidRPr="00226FBA">
        <w:rPr>
          <w:rFonts w:ascii="Times New Roman" w:hAnsi="Times New Roman" w:cs="Times New Roman"/>
          <w:sz w:val="24"/>
          <w:szCs w:val="24"/>
        </w:rPr>
        <w:t>U prvoj godini projekta se planira provesti ispitivanje svi relevantnih mehaničkih i fizikalnih svojstva lijepljenih ploča s vidljivim i skrivenim šupljinama za upotrebu u suhim uvjetima.</w:t>
      </w:r>
    </w:p>
    <w:p w14:paraId="0ED87D0D" w14:textId="3F30020D" w:rsidR="00711943" w:rsidRDefault="00711943" w:rsidP="00CC1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B9147" w14:textId="77777777" w:rsidR="006F2DE4" w:rsidRDefault="006F2DE4" w:rsidP="00CC17A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14:paraId="2242217C" w14:textId="3FFF3F7D" w:rsidR="00711943" w:rsidRPr="00BC53C0" w:rsidRDefault="00711943" w:rsidP="00246E6D">
      <w:pPr>
        <w:jc w:val="both"/>
        <w:rPr>
          <w:rFonts w:ascii="Times New Roman" w:hAnsi="Times New Roman" w:cs="Times New Roman"/>
          <w:sz w:val="24"/>
          <w:szCs w:val="24"/>
        </w:rPr>
      </w:pPr>
      <w:r w:rsidRPr="00BC53C0">
        <w:rPr>
          <w:rFonts w:ascii="Times New Roman" w:hAnsi="Times New Roman" w:cs="Times New Roman"/>
          <w:sz w:val="24"/>
          <w:szCs w:val="24"/>
        </w:rPr>
        <w:t>U Osijek</w:t>
      </w:r>
      <w:r w:rsidR="009603C8" w:rsidRPr="00BC53C0">
        <w:rPr>
          <w:rFonts w:ascii="Times New Roman" w:hAnsi="Times New Roman" w:cs="Times New Roman"/>
          <w:sz w:val="24"/>
          <w:szCs w:val="24"/>
        </w:rPr>
        <w:t xml:space="preserve">u </w:t>
      </w:r>
      <w:r w:rsidR="00D63173">
        <w:rPr>
          <w:rFonts w:ascii="Times New Roman" w:hAnsi="Times New Roman" w:cs="Times New Roman"/>
          <w:sz w:val="24"/>
          <w:szCs w:val="24"/>
        </w:rPr>
        <w:t>1</w:t>
      </w:r>
      <w:r w:rsidR="00E9086B">
        <w:rPr>
          <w:rFonts w:ascii="Times New Roman" w:hAnsi="Times New Roman" w:cs="Times New Roman"/>
          <w:sz w:val="24"/>
          <w:szCs w:val="24"/>
        </w:rPr>
        <w:t>9</w:t>
      </w:r>
      <w:r w:rsidR="009603C8" w:rsidRPr="00BC53C0">
        <w:rPr>
          <w:rFonts w:ascii="Times New Roman" w:hAnsi="Times New Roman" w:cs="Times New Roman"/>
          <w:sz w:val="24"/>
          <w:szCs w:val="24"/>
        </w:rPr>
        <w:t xml:space="preserve">. </w:t>
      </w:r>
      <w:r w:rsidR="00E9086B">
        <w:rPr>
          <w:rFonts w:ascii="Times New Roman" w:hAnsi="Times New Roman" w:cs="Times New Roman"/>
          <w:sz w:val="24"/>
          <w:szCs w:val="24"/>
        </w:rPr>
        <w:t>prosinca</w:t>
      </w:r>
      <w:r w:rsidRPr="00BC53C0">
        <w:rPr>
          <w:rFonts w:ascii="Times New Roman" w:hAnsi="Times New Roman" w:cs="Times New Roman"/>
          <w:sz w:val="24"/>
          <w:szCs w:val="24"/>
        </w:rPr>
        <w:t xml:space="preserve"> 202</w:t>
      </w:r>
      <w:r w:rsidR="00EA2B8C" w:rsidRPr="00BC53C0">
        <w:rPr>
          <w:rFonts w:ascii="Times New Roman" w:hAnsi="Times New Roman" w:cs="Times New Roman"/>
          <w:sz w:val="24"/>
          <w:szCs w:val="24"/>
        </w:rPr>
        <w:t>5</w:t>
      </w:r>
      <w:r w:rsidRPr="00BC53C0">
        <w:rPr>
          <w:rFonts w:ascii="Times New Roman" w:hAnsi="Times New Roman" w:cs="Times New Roman"/>
          <w:sz w:val="24"/>
          <w:szCs w:val="24"/>
        </w:rPr>
        <w:t>.</w:t>
      </w:r>
      <w:r w:rsidR="00FA302F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5E0B49A4" w14:textId="1C1196DA" w:rsidR="00711943" w:rsidRDefault="00711943" w:rsidP="00DE4F16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C57B28">
        <w:rPr>
          <w:rFonts w:ascii="Times New Roman" w:hAnsi="Times New Roman" w:cs="Times New Roman"/>
          <w:b/>
          <w:sz w:val="24"/>
          <w:szCs w:val="24"/>
        </w:rPr>
        <w:t>DEKAN</w:t>
      </w:r>
    </w:p>
    <w:p w14:paraId="69D4E3A3" w14:textId="77777777" w:rsidR="00FA302F" w:rsidRPr="00C57B28" w:rsidRDefault="00FA302F" w:rsidP="00DE4F16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2D1CD113" w14:textId="1D493D15" w:rsidR="00967355" w:rsidRPr="00FB5B69" w:rsidRDefault="00711943" w:rsidP="0006590D">
      <w:pPr>
        <w:ind w:left="566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F0FBD"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proofErr w:type="spellStart"/>
      <w:r w:rsidRPr="002F0FBD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2F0FBD">
        <w:rPr>
          <w:rFonts w:ascii="Times New Roman" w:hAnsi="Times New Roman" w:cs="Times New Roman"/>
          <w:b/>
          <w:sz w:val="24"/>
          <w:szCs w:val="24"/>
        </w:rPr>
        <w:t>. Hrvoje Krstić</w:t>
      </w:r>
    </w:p>
    <w:sectPr w:rsidR="00967355" w:rsidRPr="00FB5B69" w:rsidSect="008109C6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51B46" w14:textId="77777777" w:rsidR="003561C1" w:rsidRDefault="003561C1" w:rsidP="00DD6C98">
      <w:pPr>
        <w:spacing w:after="0" w:line="240" w:lineRule="auto"/>
      </w:pPr>
      <w:r>
        <w:separator/>
      </w:r>
    </w:p>
  </w:endnote>
  <w:endnote w:type="continuationSeparator" w:id="0">
    <w:p w14:paraId="11217742" w14:textId="77777777" w:rsidR="003561C1" w:rsidRDefault="003561C1" w:rsidP="00DD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2677A" w14:textId="77777777" w:rsidR="00E34AF2" w:rsidRDefault="00E34AF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071562"/>
      <w:docPartObj>
        <w:docPartGallery w:val="Page Numbers (Bottom of Page)"/>
        <w:docPartUnique/>
      </w:docPartObj>
    </w:sdtPr>
    <w:sdtEndPr/>
    <w:sdtContent>
      <w:p w14:paraId="3E47AC04" w14:textId="47A364FE" w:rsidR="00E34AF2" w:rsidRDefault="00E34AF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CB8">
          <w:rPr>
            <w:noProof/>
          </w:rPr>
          <w:t>17</w:t>
        </w:r>
        <w:r>
          <w:fldChar w:fldCharType="end"/>
        </w:r>
      </w:p>
    </w:sdtContent>
  </w:sdt>
  <w:p w14:paraId="6B0A73F6" w14:textId="77777777" w:rsidR="00E34AF2" w:rsidRDefault="00E34AF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0472F" w14:textId="77777777" w:rsidR="00E34AF2" w:rsidRDefault="00E34A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D8F1" w14:textId="77777777" w:rsidR="003561C1" w:rsidRDefault="003561C1" w:rsidP="00DD6C98">
      <w:pPr>
        <w:spacing w:after="0" w:line="240" w:lineRule="auto"/>
      </w:pPr>
      <w:r>
        <w:separator/>
      </w:r>
    </w:p>
  </w:footnote>
  <w:footnote w:type="continuationSeparator" w:id="0">
    <w:p w14:paraId="250DC6F4" w14:textId="77777777" w:rsidR="003561C1" w:rsidRDefault="003561C1" w:rsidP="00DD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B2F88" w14:textId="77777777" w:rsidR="00E34AF2" w:rsidRDefault="00E34AF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427AD" w14:textId="77777777" w:rsidR="00E34AF2" w:rsidRDefault="00E34AF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5E94" w14:textId="77777777" w:rsidR="00E34AF2" w:rsidRDefault="00E34A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E0BE4"/>
    <w:multiLevelType w:val="hybridMultilevel"/>
    <w:tmpl w:val="635C2D06"/>
    <w:lvl w:ilvl="0" w:tplc="25D25AF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233" w:hanging="360"/>
      </w:pPr>
    </w:lvl>
    <w:lvl w:ilvl="2" w:tplc="041A001B">
      <w:start w:val="1"/>
      <w:numFmt w:val="lowerRoman"/>
      <w:lvlText w:val="%3."/>
      <w:lvlJc w:val="right"/>
      <w:pPr>
        <w:ind w:left="1953" w:hanging="180"/>
      </w:pPr>
    </w:lvl>
    <w:lvl w:ilvl="3" w:tplc="041A000F">
      <w:start w:val="1"/>
      <w:numFmt w:val="decimal"/>
      <w:lvlText w:val="%4."/>
      <w:lvlJc w:val="left"/>
      <w:pPr>
        <w:ind w:left="2673" w:hanging="360"/>
      </w:pPr>
    </w:lvl>
    <w:lvl w:ilvl="4" w:tplc="041A0019">
      <w:start w:val="1"/>
      <w:numFmt w:val="lowerLetter"/>
      <w:lvlText w:val="%5."/>
      <w:lvlJc w:val="left"/>
      <w:pPr>
        <w:ind w:left="3393" w:hanging="360"/>
      </w:pPr>
    </w:lvl>
    <w:lvl w:ilvl="5" w:tplc="041A001B">
      <w:start w:val="1"/>
      <w:numFmt w:val="lowerRoman"/>
      <w:lvlText w:val="%6."/>
      <w:lvlJc w:val="right"/>
      <w:pPr>
        <w:ind w:left="4113" w:hanging="180"/>
      </w:pPr>
    </w:lvl>
    <w:lvl w:ilvl="6" w:tplc="041A000F">
      <w:start w:val="1"/>
      <w:numFmt w:val="decimal"/>
      <w:lvlText w:val="%7."/>
      <w:lvlJc w:val="left"/>
      <w:pPr>
        <w:ind w:left="4833" w:hanging="360"/>
      </w:pPr>
    </w:lvl>
    <w:lvl w:ilvl="7" w:tplc="041A0019">
      <w:start w:val="1"/>
      <w:numFmt w:val="lowerLetter"/>
      <w:lvlText w:val="%8."/>
      <w:lvlJc w:val="left"/>
      <w:pPr>
        <w:ind w:left="5553" w:hanging="360"/>
      </w:pPr>
    </w:lvl>
    <w:lvl w:ilvl="8" w:tplc="041A001B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0E36685D"/>
    <w:multiLevelType w:val="hybridMultilevel"/>
    <w:tmpl w:val="D634260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D5875"/>
    <w:multiLevelType w:val="hybridMultilevel"/>
    <w:tmpl w:val="D634260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029D5"/>
    <w:multiLevelType w:val="hybridMultilevel"/>
    <w:tmpl w:val="CE8AFC36"/>
    <w:lvl w:ilvl="0" w:tplc="48766A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EastAsia" w:hAnsi="Times New Roman" w:cs="Times New Roman"/>
        <w:color w:val="auto"/>
      </w:rPr>
    </w:lvl>
    <w:lvl w:ilvl="1" w:tplc="7E7274CC">
      <w:numFmt w:val="bullet"/>
      <w:lvlText w:val="•"/>
      <w:lvlJc w:val="left"/>
      <w:pPr>
        <w:ind w:left="1708" w:hanging="705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B8C7A28"/>
    <w:multiLevelType w:val="hybridMultilevel"/>
    <w:tmpl w:val="F8CAE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02D3B"/>
    <w:multiLevelType w:val="hybridMultilevel"/>
    <w:tmpl w:val="F4E0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C3FFF"/>
    <w:multiLevelType w:val="hybridMultilevel"/>
    <w:tmpl w:val="A9BC0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91356"/>
    <w:multiLevelType w:val="hybridMultilevel"/>
    <w:tmpl w:val="0D468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5343F"/>
    <w:multiLevelType w:val="hybridMultilevel"/>
    <w:tmpl w:val="635C2D06"/>
    <w:lvl w:ilvl="0" w:tplc="25D25AF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233" w:hanging="360"/>
      </w:pPr>
    </w:lvl>
    <w:lvl w:ilvl="2" w:tplc="041A001B">
      <w:start w:val="1"/>
      <w:numFmt w:val="lowerRoman"/>
      <w:lvlText w:val="%3."/>
      <w:lvlJc w:val="right"/>
      <w:pPr>
        <w:ind w:left="1953" w:hanging="180"/>
      </w:pPr>
    </w:lvl>
    <w:lvl w:ilvl="3" w:tplc="041A000F">
      <w:start w:val="1"/>
      <w:numFmt w:val="decimal"/>
      <w:lvlText w:val="%4."/>
      <w:lvlJc w:val="left"/>
      <w:pPr>
        <w:ind w:left="2673" w:hanging="360"/>
      </w:pPr>
    </w:lvl>
    <w:lvl w:ilvl="4" w:tplc="041A0019">
      <w:start w:val="1"/>
      <w:numFmt w:val="lowerLetter"/>
      <w:lvlText w:val="%5."/>
      <w:lvlJc w:val="left"/>
      <w:pPr>
        <w:ind w:left="3393" w:hanging="360"/>
      </w:pPr>
    </w:lvl>
    <w:lvl w:ilvl="5" w:tplc="041A001B">
      <w:start w:val="1"/>
      <w:numFmt w:val="lowerRoman"/>
      <w:lvlText w:val="%6."/>
      <w:lvlJc w:val="right"/>
      <w:pPr>
        <w:ind w:left="4113" w:hanging="180"/>
      </w:pPr>
    </w:lvl>
    <w:lvl w:ilvl="6" w:tplc="041A000F">
      <w:start w:val="1"/>
      <w:numFmt w:val="decimal"/>
      <w:lvlText w:val="%7."/>
      <w:lvlJc w:val="left"/>
      <w:pPr>
        <w:ind w:left="4833" w:hanging="360"/>
      </w:pPr>
    </w:lvl>
    <w:lvl w:ilvl="7" w:tplc="041A0019">
      <w:start w:val="1"/>
      <w:numFmt w:val="lowerLetter"/>
      <w:lvlText w:val="%8."/>
      <w:lvlJc w:val="left"/>
      <w:pPr>
        <w:ind w:left="5553" w:hanging="360"/>
      </w:pPr>
    </w:lvl>
    <w:lvl w:ilvl="8" w:tplc="041A001B">
      <w:start w:val="1"/>
      <w:numFmt w:val="lowerRoman"/>
      <w:lvlText w:val="%9."/>
      <w:lvlJc w:val="right"/>
      <w:pPr>
        <w:ind w:left="6273" w:hanging="180"/>
      </w:pPr>
    </w:lvl>
  </w:abstractNum>
  <w:abstractNum w:abstractNumId="10" w15:restartNumberingAfterBreak="0">
    <w:nsid w:val="2B547212"/>
    <w:multiLevelType w:val="hybridMultilevel"/>
    <w:tmpl w:val="F836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E7120"/>
    <w:multiLevelType w:val="hybridMultilevel"/>
    <w:tmpl w:val="635C2D06"/>
    <w:lvl w:ilvl="0" w:tplc="25D25AF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233" w:hanging="360"/>
      </w:pPr>
    </w:lvl>
    <w:lvl w:ilvl="2" w:tplc="041A001B">
      <w:start w:val="1"/>
      <w:numFmt w:val="lowerRoman"/>
      <w:lvlText w:val="%3."/>
      <w:lvlJc w:val="right"/>
      <w:pPr>
        <w:ind w:left="1953" w:hanging="180"/>
      </w:pPr>
    </w:lvl>
    <w:lvl w:ilvl="3" w:tplc="041A000F">
      <w:start w:val="1"/>
      <w:numFmt w:val="decimal"/>
      <w:lvlText w:val="%4."/>
      <w:lvlJc w:val="left"/>
      <w:pPr>
        <w:ind w:left="2673" w:hanging="360"/>
      </w:pPr>
    </w:lvl>
    <w:lvl w:ilvl="4" w:tplc="041A0019">
      <w:start w:val="1"/>
      <w:numFmt w:val="lowerLetter"/>
      <w:lvlText w:val="%5."/>
      <w:lvlJc w:val="left"/>
      <w:pPr>
        <w:ind w:left="3393" w:hanging="360"/>
      </w:pPr>
    </w:lvl>
    <w:lvl w:ilvl="5" w:tplc="041A001B">
      <w:start w:val="1"/>
      <w:numFmt w:val="lowerRoman"/>
      <w:lvlText w:val="%6."/>
      <w:lvlJc w:val="right"/>
      <w:pPr>
        <w:ind w:left="4113" w:hanging="180"/>
      </w:pPr>
    </w:lvl>
    <w:lvl w:ilvl="6" w:tplc="041A000F">
      <w:start w:val="1"/>
      <w:numFmt w:val="decimal"/>
      <w:lvlText w:val="%7."/>
      <w:lvlJc w:val="left"/>
      <w:pPr>
        <w:ind w:left="4833" w:hanging="360"/>
      </w:pPr>
    </w:lvl>
    <w:lvl w:ilvl="7" w:tplc="041A0019">
      <w:start w:val="1"/>
      <w:numFmt w:val="lowerLetter"/>
      <w:lvlText w:val="%8."/>
      <w:lvlJc w:val="left"/>
      <w:pPr>
        <w:ind w:left="5553" w:hanging="360"/>
      </w:pPr>
    </w:lvl>
    <w:lvl w:ilvl="8" w:tplc="041A001B">
      <w:start w:val="1"/>
      <w:numFmt w:val="lowerRoman"/>
      <w:lvlText w:val="%9."/>
      <w:lvlJc w:val="right"/>
      <w:pPr>
        <w:ind w:left="6273" w:hanging="180"/>
      </w:pPr>
    </w:lvl>
  </w:abstractNum>
  <w:abstractNum w:abstractNumId="12" w15:restartNumberingAfterBreak="0">
    <w:nsid w:val="30031842"/>
    <w:multiLevelType w:val="hybridMultilevel"/>
    <w:tmpl w:val="635C2D06"/>
    <w:lvl w:ilvl="0" w:tplc="25D25AF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233" w:hanging="360"/>
      </w:pPr>
    </w:lvl>
    <w:lvl w:ilvl="2" w:tplc="041A001B">
      <w:start w:val="1"/>
      <w:numFmt w:val="lowerRoman"/>
      <w:lvlText w:val="%3."/>
      <w:lvlJc w:val="right"/>
      <w:pPr>
        <w:ind w:left="1953" w:hanging="180"/>
      </w:pPr>
    </w:lvl>
    <w:lvl w:ilvl="3" w:tplc="041A000F">
      <w:start w:val="1"/>
      <w:numFmt w:val="decimal"/>
      <w:lvlText w:val="%4."/>
      <w:lvlJc w:val="left"/>
      <w:pPr>
        <w:ind w:left="2673" w:hanging="360"/>
      </w:pPr>
    </w:lvl>
    <w:lvl w:ilvl="4" w:tplc="041A0019">
      <w:start w:val="1"/>
      <w:numFmt w:val="lowerLetter"/>
      <w:lvlText w:val="%5."/>
      <w:lvlJc w:val="left"/>
      <w:pPr>
        <w:ind w:left="3393" w:hanging="360"/>
      </w:pPr>
    </w:lvl>
    <w:lvl w:ilvl="5" w:tplc="041A001B">
      <w:start w:val="1"/>
      <w:numFmt w:val="lowerRoman"/>
      <w:lvlText w:val="%6."/>
      <w:lvlJc w:val="right"/>
      <w:pPr>
        <w:ind w:left="4113" w:hanging="180"/>
      </w:pPr>
    </w:lvl>
    <w:lvl w:ilvl="6" w:tplc="041A000F">
      <w:start w:val="1"/>
      <w:numFmt w:val="decimal"/>
      <w:lvlText w:val="%7."/>
      <w:lvlJc w:val="left"/>
      <w:pPr>
        <w:ind w:left="4833" w:hanging="360"/>
      </w:pPr>
    </w:lvl>
    <w:lvl w:ilvl="7" w:tplc="041A0019">
      <w:start w:val="1"/>
      <w:numFmt w:val="lowerLetter"/>
      <w:lvlText w:val="%8."/>
      <w:lvlJc w:val="left"/>
      <w:pPr>
        <w:ind w:left="5553" w:hanging="360"/>
      </w:pPr>
    </w:lvl>
    <w:lvl w:ilvl="8" w:tplc="041A001B">
      <w:start w:val="1"/>
      <w:numFmt w:val="lowerRoman"/>
      <w:lvlText w:val="%9."/>
      <w:lvlJc w:val="right"/>
      <w:pPr>
        <w:ind w:left="6273" w:hanging="180"/>
      </w:pPr>
    </w:lvl>
  </w:abstractNum>
  <w:abstractNum w:abstractNumId="13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1388F"/>
    <w:multiLevelType w:val="hybridMultilevel"/>
    <w:tmpl w:val="440AB0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9F5B64"/>
    <w:multiLevelType w:val="hybridMultilevel"/>
    <w:tmpl w:val="A2F05ABC"/>
    <w:lvl w:ilvl="0" w:tplc="041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6" w15:restartNumberingAfterBreak="0">
    <w:nsid w:val="4CFA4E79"/>
    <w:multiLevelType w:val="hybridMultilevel"/>
    <w:tmpl w:val="7C509696"/>
    <w:lvl w:ilvl="0" w:tplc="10001B02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E1C51"/>
    <w:multiLevelType w:val="hybridMultilevel"/>
    <w:tmpl w:val="E7CC3DA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99272B3"/>
    <w:multiLevelType w:val="hybridMultilevel"/>
    <w:tmpl w:val="07686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D7447"/>
    <w:multiLevelType w:val="hybridMultilevel"/>
    <w:tmpl w:val="4686ED32"/>
    <w:lvl w:ilvl="0" w:tplc="041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92877C4"/>
    <w:multiLevelType w:val="hybridMultilevel"/>
    <w:tmpl w:val="E3BAE3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C62EC"/>
    <w:multiLevelType w:val="hybridMultilevel"/>
    <w:tmpl w:val="52E80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15529"/>
    <w:multiLevelType w:val="hybridMultilevel"/>
    <w:tmpl w:val="D6503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555DC"/>
    <w:multiLevelType w:val="hybridMultilevel"/>
    <w:tmpl w:val="6508469C"/>
    <w:lvl w:ilvl="0" w:tplc="60B6A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544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BEB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967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A8D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FEF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744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9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9AD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1301744"/>
    <w:multiLevelType w:val="hybridMultilevel"/>
    <w:tmpl w:val="437C4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35D03"/>
    <w:multiLevelType w:val="hybridMultilevel"/>
    <w:tmpl w:val="F25EB836"/>
    <w:lvl w:ilvl="0" w:tplc="9F4A6B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34A77"/>
    <w:multiLevelType w:val="hybridMultilevel"/>
    <w:tmpl w:val="EB803018"/>
    <w:lvl w:ilvl="0" w:tplc="10001B02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469E4"/>
    <w:multiLevelType w:val="hybridMultilevel"/>
    <w:tmpl w:val="D634260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366C3C"/>
    <w:multiLevelType w:val="hybridMultilevel"/>
    <w:tmpl w:val="310859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513F4"/>
    <w:multiLevelType w:val="hybridMultilevel"/>
    <w:tmpl w:val="07B88BA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122EF"/>
    <w:multiLevelType w:val="hybridMultilevel"/>
    <w:tmpl w:val="86E2F430"/>
    <w:lvl w:ilvl="0" w:tplc="041A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1567E"/>
    <w:multiLevelType w:val="hybridMultilevel"/>
    <w:tmpl w:val="5030BB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4"/>
  </w:num>
  <w:num w:numId="4">
    <w:abstractNumId w:val="0"/>
  </w:num>
  <w:num w:numId="5">
    <w:abstractNumId w:val="24"/>
  </w:num>
  <w:num w:numId="6">
    <w:abstractNumId w:val="29"/>
  </w:num>
  <w:num w:numId="7">
    <w:abstractNumId w:val="19"/>
  </w:num>
  <w:num w:numId="8">
    <w:abstractNumId w:val="15"/>
  </w:num>
  <w:num w:numId="9">
    <w:abstractNumId w:val="3"/>
  </w:num>
  <w:num w:numId="10">
    <w:abstractNumId w:val="28"/>
  </w:num>
  <w:num w:numId="11">
    <w:abstractNumId w:val="9"/>
  </w:num>
  <w:num w:numId="12">
    <w:abstractNumId w:val="2"/>
  </w:num>
  <w:num w:numId="13">
    <w:abstractNumId w:val="21"/>
  </w:num>
  <w:num w:numId="14">
    <w:abstractNumId w:val="30"/>
  </w:num>
  <w:num w:numId="15">
    <w:abstractNumId w:val="13"/>
  </w:num>
  <w:num w:numId="16">
    <w:abstractNumId w:val="2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6"/>
  </w:num>
  <w:num w:numId="21">
    <w:abstractNumId w:val="8"/>
  </w:num>
  <w:num w:numId="22">
    <w:abstractNumId w:val="10"/>
  </w:num>
  <w:num w:numId="23">
    <w:abstractNumId w:val="1"/>
  </w:num>
  <w:num w:numId="24">
    <w:abstractNumId w:val="26"/>
  </w:num>
  <w:num w:numId="25">
    <w:abstractNumId w:val="31"/>
  </w:num>
  <w:num w:numId="26">
    <w:abstractNumId w:val="22"/>
  </w:num>
  <w:num w:numId="27">
    <w:abstractNumId w:val="5"/>
  </w:num>
  <w:num w:numId="28">
    <w:abstractNumId w:val="4"/>
  </w:num>
  <w:num w:numId="29">
    <w:abstractNumId w:val="20"/>
  </w:num>
  <w:num w:numId="30">
    <w:abstractNumId w:val="32"/>
  </w:num>
  <w:num w:numId="31">
    <w:abstractNumId w:val="25"/>
  </w:num>
  <w:num w:numId="32">
    <w:abstractNumId w:val="18"/>
  </w:num>
  <w:num w:numId="33">
    <w:abstractNumId w:val="1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49"/>
    <w:rsid w:val="00002DD0"/>
    <w:rsid w:val="000048FF"/>
    <w:rsid w:val="00036659"/>
    <w:rsid w:val="0006590D"/>
    <w:rsid w:val="00080DAC"/>
    <w:rsid w:val="000A03C8"/>
    <w:rsid w:val="000E0AED"/>
    <w:rsid w:val="000E2991"/>
    <w:rsid w:val="000F4B2E"/>
    <w:rsid w:val="0010542A"/>
    <w:rsid w:val="0010747F"/>
    <w:rsid w:val="00132C7D"/>
    <w:rsid w:val="0014753B"/>
    <w:rsid w:val="001530CF"/>
    <w:rsid w:val="0015426E"/>
    <w:rsid w:val="00174BF6"/>
    <w:rsid w:val="001822F6"/>
    <w:rsid w:val="00183652"/>
    <w:rsid w:val="00186A23"/>
    <w:rsid w:val="0019134C"/>
    <w:rsid w:val="00192A17"/>
    <w:rsid w:val="00193C2F"/>
    <w:rsid w:val="001B5264"/>
    <w:rsid w:val="001D238F"/>
    <w:rsid w:val="001D2623"/>
    <w:rsid w:val="001E1BEA"/>
    <w:rsid w:val="00210C1C"/>
    <w:rsid w:val="00227FCE"/>
    <w:rsid w:val="0023382D"/>
    <w:rsid w:val="0023466A"/>
    <w:rsid w:val="00246E6D"/>
    <w:rsid w:val="00262262"/>
    <w:rsid w:val="002959C5"/>
    <w:rsid w:val="002A5E6A"/>
    <w:rsid w:val="002A669D"/>
    <w:rsid w:val="002A74B8"/>
    <w:rsid w:val="002D3210"/>
    <w:rsid w:val="002D5F65"/>
    <w:rsid w:val="002E6AF6"/>
    <w:rsid w:val="002F0FBD"/>
    <w:rsid w:val="002F413D"/>
    <w:rsid w:val="00310DD7"/>
    <w:rsid w:val="00320489"/>
    <w:rsid w:val="00324C72"/>
    <w:rsid w:val="003349B7"/>
    <w:rsid w:val="00345E9F"/>
    <w:rsid w:val="003561C1"/>
    <w:rsid w:val="00357298"/>
    <w:rsid w:val="003A3098"/>
    <w:rsid w:val="003B21BF"/>
    <w:rsid w:val="003C23ED"/>
    <w:rsid w:val="003D11D2"/>
    <w:rsid w:val="003E0BB2"/>
    <w:rsid w:val="003E629F"/>
    <w:rsid w:val="003F0490"/>
    <w:rsid w:val="003F0E49"/>
    <w:rsid w:val="003F1C16"/>
    <w:rsid w:val="0043373D"/>
    <w:rsid w:val="00433B85"/>
    <w:rsid w:val="004425C1"/>
    <w:rsid w:val="00443030"/>
    <w:rsid w:val="00461550"/>
    <w:rsid w:val="00461850"/>
    <w:rsid w:val="00462038"/>
    <w:rsid w:val="00465A60"/>
    <w:rsid w:val="00466167"/>
    <w:rsid w:val="0046690B"/>
    <w:rsid w:val="00466BCC"/>
    <w:rsid w:val="004713BD"/>
    <w:rsid w:val="00474411"/>
    <w:rsid w:val="0047584C"/>
    <w:rsid w:val="00482FE5"/>
    <w:rsid w:val="004A03B1"/>
    <w:rsid w:val="004B132F"/>
    <w:rsid w:val="004E4733"/>
    <w:rsid w:val="0051211F"/>
    <w:rsid w:val="005125B3"/>
    <w:rsid w:val="00513B30"/>
    <w:rsid w:val="00513B52"/>
    <w:rsid w:val="00536CCD"/>
    <w:rsid w:val="005667FC"/>
    <w:rsid w:val="00570D3B"/>
    <w:rsid w:val="005817E5"/>
    <w:rsid w:val="005832B8"/>
    <w:rsid w:val="00587CB3"/>
    <w:rsid w:val="005A0AF3"/>
    <w:rsid w:val="005A333D"/>
    <w:rsid w:val="005B4BA7"/>
    <w:rsid w:val="005C782A"/>
    <w:rsid w:val="005D366B"/>
    <w:rsid w:val="005D5AD0"/>
    <w:rsid w:val="005D5EEE"/>
    <w:rsid w:val="005E1CB8"/>
    <w:rsid w:val="00604D4E"/>
    <w:rsid w:val="006051AA"/>
    <w:rsid w:val="00610851"/>
    <w:rsid w:val="00611157"/>
    <w:rsid w:val="0061446E"/>
    <w:rsid w:val="00625326"/>
    <w:rsid w:val="00652F60"/>
    <w:rsid w:val="00667845"/>
    <w:rsid w:val="00682AB6"/>
    <w:rsid w:val="00682E75"/>
    <w:rsid w:val="00685AF6"/>
    <w:rsid w:val="006A309B"/>
    <w:rsid w:val="006B06B3"/>
    <w:rsid w:val="006B2D16"/>
    <w:rsid w:val="006C30F3"/>
    <w:rsid w:val="006C579B"/>
    <w:rsid w:val="006C6A59"/>
    <w:rsid w:val="006D1C49"/>
    <w:rsid w:val="006D5DF5"/>
    <w:rsid w:val="006E3BFB"/>
    <w:rsid w:val="006E66C7"/>
    <w:rsid w:val="006E6F8F"/>
    <w:rsid w:val="006F0F5C"/>
    <w:rsid w:val="006F2DE4"/>
    <w:rsid w:val="006F4C36"/>
    <w:rsid w:val="00701CD5"/>
    <w:rsid w:val="00711943"/>
    <w:rsid w:val="00731C49"/>
    <w:rsid w:val="007501EE"/>
    <w:rsid w:val="00774FE0"/>
    <w:rsid w:val="00786982"/>
    <w:rsid w:val="007A1387"/>
    <w:rsid w:val="007A7D29"/>
    <w:rsid w:val="007C27BD"/>
    <w:rsid w:val="007D2092"/>
    <w:rsid w:val="007E1477"/>
    <w:rsid w:val="007E164D"/>
    <w:rsid w:val="008109C6"/>
    <w:rsid w:val="00813166"/>
    <w:rsid w:val="00823ED5"/>
    <w:rsid w:val="0087231B"/>
    <w:rsid w:val="0089704A"/>
    <w:rsid w:val="008A39A4"/>
    <w:rsid w:val="008C7EFA"/>
    <w:rsid w:val="008D5243"/>
    <w:rsid w:val="008E2285"/>
    <w:rsid w:val="00900872"/>
    <w:rsid w:val="0090123D"/>
    <w:rsid w:val="009066EE"/>
    <w:rsid w:val="009109D6"/>
    <w:rsid w:val="009134F8"/>
    <w:rsid w:val="00927C5A"/>
    <w:rsid w:val="0093645A"/>
    <w:rsid w:val="009436DA"/>
    <w:rsid w:val="00946EB8"/>
    <w:rsid w:val="00954AF0"/>
    <w:rsid w:val="00954D3D"/>
    <w:rsid w:val="009603C8"/>
    <w:rsid w:val="009652E5"/>
    <w:rsid w:val="00967355"/>
    <w:rsid w:val="009711C3"/>
    <w:rsid w:val="009A2370"/>
    <w:rsid w:val="009A48E0"/>
    <w:rsid w:val="009B759D"/>
    <w:rsid w:val="009C0CFA"/>
    <w:rsid w:val="009D74D4"/>
    <w:rsid w:val="009E1ED6"/>
    <w:rsid w:val="009E443D"/>
    <w:rsid w:val="00A11D04"/>
    <w:rsid w:val="00A1202B"/>
    <w:rsid w:val="00A132CB"/>
    <w:rsid w:val="00A14617"/>
    <w:rsid w:val="00A16C68"/>
    <w:rsid w:val="00A32CC7"/>
    <w:rsid w:val="00A3373C"/>
    <w:rsid w:val="00A342A0"/>
    <w:rsid w:val="00A51567"/>
    <w:rsid w:val="00A56C4B"/>
    <w:rsid w:val="00A7121C"/>
    <w:rsid w:val="00A71A07"/>
    <w:rsid w:val="00A80BA7"/>
    <w:rsid w:val="00AB2022"/>
    <w:rsid w:val="00AC2E9F"/>
    <w:rsid w:val="00AE356C"/>
    <w:rsid w:val="00AF11F2"/>
    <w:rsid w:val="00B07F32"/>
    <w:rsid w:val="00B4715F"/>
    <w:rsid w:val="00B5052F"/>
    <w:rsid w:val="00B54C28"/>
    <w:rsid w:val="00B64E42"/>
    <w:rsid w:val="00B75B63"/>
    <w:rsid w:val="00B77227"/>
    <w:rsid w:val="00B85BE0"/>
    <w:rsid w:val="00BA3A1E"/>
    <w:rsid w:val="00BB1035"/>
    <w:rsid w:val="00BC53C0"/>
    <w:rsid w:val="00BC737B"/>
    <w:rsid w:val="00C06EE9"/>
    <w:rsid w:val="00C2117A"/>
    <w:rsid w:val="00C47D23"/>
    <w:rsid w:val="00C65B21"/>
    <w:rsid w:val="00C65B9E"/>
    <w:rsid w:val="00C7457A"/>
    <w:rsid w:val="00C75304"/>
    <w:rsid w:val="00C76DF2"/>
    <w:rsid w:val="00C85BC0"/>
    <w:rsid w:val="00C8608F"/>
    <w:rsid w:val="00C911AC"/>
    <w:rsid w:val="00C94B02"/>
    <w:rsid w:val="00CC17AB"/>
    <w:rsid w:val="00CD6D65"/>
    <w:rsid w:val="00CE7F99"/>
    <w:rsid w:val="00D45C3C"/>
    <w:rsid w:val="00D5126B"/>
    <w:rsid w:val="00D63173"/>
    <w:rsid w:val="00D84A9D"/>
    <w:rsid w:val="00D92FFE"/>
    <w:rsid w:val="00D947E5"/>
    <w:rsid w:val="00DA3808"/>
    <w:rsid w:val="00DA4A99"/>
    <w:rsid w:val="00DD6507"/>
    <w:rsid w:val="00DD6C98"/>
    <w:rsid w:val="00DE4F16"/>
    <w:rsid w:val="00DF7028"/>
    <w:rsid w:val="00E03C6C"/>
    <w:rsid w:val="00E11CEB"/>
    <w:rsid w:val="00E178DF"/>
    <w:rsid w:val="00E34AF2"/>
    <w:rsid w:val="00E34B99"/>
    <w:rsid w:val="00E35B56"/>
    <w:rsid w:val="00E43859"/>
    <w:rsid w:val="00E439FE"/>
    <w:rsid w:val="00E455E6"/>
    <w:rsid w:val="00E710C4"/>
    <w:rsid w:val="00E71D0A"/>
    <w:rsid w:val="00E81B25"/>
    <w:rsid w:val="00E81CDE"/>
    <w:rsid w:val="00E83C2F"/>
    <w:rsid w:val="00E85450"/>
    <w:rsid w:val="00E9086B"/>
    <w:rsid w:val="00E92171"/>
    <w:rsid w:val="00E92F68"/>
    <w:rsid w:val="00EA2B8C"/>
    <w:rsid w:val="00EB1DCA"/>
    <w:rsid w:val="00EB48FE"/>
    <w:rsid w:val="00EC6D8A"/>
    <w:rsid w:val="00ED0BEC"/>
    <w:rsid w:val="00EE156E"/>
    <w:rsid w:val="00EF1388"/>
    <w:rsid w:val="00EF2068"/>
    <w:rsid w:val="00EF4999"/>
    <w:rsid w:val="00EF4D2B"/>
    <w:rsid w:val="00EF5962"/>
    <w:rsid w:val="00F0046C"/>
    <w:rsid w:val="00F205FC"/>
    <w:rsid w:val="00F30F86"/>
    <w:rsid w:val="00F32269"/>
    <w:rsid w:val="00F4012E"/>
    <w:rsid w:val="00F421D5"/>
    <w:rsid w:val="00F5104A"/>
    <w:rsid w:val="00F558CB"/>
    <w:rsid w:val="00F63E71"/>
    <w:rsid w:val="00F715AC"/>
    <w:rsid w:val="00F7259F"/>
    <w:rsid w:val="00F77F98"/>
    <w:rsid w:val="00F90F0E"/>
    <w:rsid w:val="00FA302F"/>
    <w:rsid w:val="00FA7CD6"/>
    <w:rsid w:val="00FB5B69"/>
    <w:rsid w:val="00FE6261"/>
    <w:rsid w:val="00FE6CC9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95C7"/>
  <w15:chartTrackingRefBased/>
  <w15:docId w15:val="{2948FCC6-FC6C-44DF-875E-C6A47834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E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3F0E4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B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3B21BF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B21BF"/>
    <w:rPr>
      <w:color w:val="954F72" w:themeColor="followedHyperlink"/>
      <w:u w:val="single"/>
    </w:rPr>
  </w:style>
  <w:style w:type="table" w:customStyle="1" w:styleId="Svijetlareetkatablice1">
    <w:name w:val="Svijetla rešetka tablice1"/>
    <w:basedOn w:val="Obinatablica"/>
    <w:uiPriority w:val="40"/>
    <w:rsid w:val="00BC7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D6C9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6C98"/>
    <w:rPr>
      <w:rFonts w:eastAsiaTheme="minorEastAsi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DD6C98"/>
    <w:rPr>
      <w:vertAlign w:val="superscript"/>
    </w:r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93645A"/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1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202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1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202B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AF2"/>
    <w:rPr>
      <w:rFonts w:ascii="Segoe UI" w:eastAsiaTheme="minorEastAsia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E9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8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ktorski-zbor.hr/fileadmin/rektorat/O_Sveucilistu/Tijela_sluzbe/Rektorski_zbor/dokumenti2/Odluka_Rektorskog_zbora_o_uvjetima_za_izbor_u_znanstveno-nastavna_zvanja_NN_106_2006.pdf" TargetMode="External"/><Relationship Id="rId18" Type="http://schemas.openxmlformats.org/officeDocument/2006/relationships/hyperlink" Target="https://narodne-novine.nn.hr/clanci/sluzbeni/2017_03_28_652.html" TargetMode="External"/><Relationship Id="rId26" Type="http://schemas.openxmlformats.org/officeDocument/2006/relationships/hyperlink" Target="http://www.gfos.unios.hr/download/pravilnik-o-financijskom-poslovanju-procisceni-tekst.pdf" TargetMode="External"/><Relationship Id="rId39" Type="http://schemas.openxmlformats.org/officeDocument/2006/relationships/hyperlink" Target="http://www.gfos.unios.hr/download/pravilnik-o-kvaliteti-2019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fos.unios.hr/download/statut-sveucilista-josipa-jurja-strossmayera-u-osijeku-ozujak-2023.pdf" TargetMode="External"/><Relationship Id="rId34" Type="http://schemas.openxmlformats.org/officeDocument/2006/relationships/hyperlink" Target="http://www.gfos.unios.hr/download/pravilnik-o-popisu-imovine-i-obveza-i-postupanju-s-imovinom-1.pdf" TargetMode="External"/><Relationship Id="rId42" Type="http://schemas.openxmlformats.org/officeDocument/2006/relationships/hyperlink" Target="http://www.gfos.unios.hr/download/pravilnik-o-nastavnim-i-strucnim-bazama.pdf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ektorski-zbor.hr/fileadmin/rektorat/O_Sveucilistu/Tijela_sluzbe/Rektorski_zbor/dokumenti/NN_120_2021_Odluka_o_izmjeni_i_dopuni_Odluke_o_nuznim_uvjetima_za_ocjenu_nastavne_i_strucne_djelatnosti_u_postupku_izbora_u_nastavna_zvanja.pdf" TargetMode="External"/><Relationship Id="rId17" Type="http://schemas.openxmlformats.org/officeDocument/2006/relationships/hyperlink" Target="https://narodne-novine.nn.hr/clanci/sluzbeni/2022_09_111_1637.html" TargetMode="External"/><Relationship Id="rId25" Type="http://schemas.openxmlformats.org/officeDocument/2006/relationships/hyperlink" Target="http://www.gfos.unios.hr/download/eticki-kodeks-sveucilista-josipa-jurja-strossmayera-u-osijeku.pdf" TargetMode="External"/><Relationship Id="rId33" Type="http://schemas.openxmlformats.org/officeDocument/2006/relationships/hyperlink" Target="http://www.gfos.unios.hr/download/pravilnik-o-vrednovanju-rada-asistenata-poslijedoktoranada-i-mentora.pdf" TargetMode="External"/><Relationship Id="rId38" Type="http://schemas.openxmlformats.org/officeDocument/2006/relationships/hyperlink" Target="http://www.gfos.unios.hr/download/pravilnik-o-zastiti-osobnih-podataka-grafos-2019-2.pdf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arodne-novine.nn.hr/clanci/sluzbeni/2017_03_28_652.html" TargetMode="External"/><Relationship Id="rId20" Type="http://schemas.openxmlformats.org/officeDocument/2006/relationships/hyperlink" Target="http://www.gfos.unios.hr/download/pravilnik-o-provedbi-postupka-izbora-reizbora-u-zvanja-i-na-odgovarajuca-radna-mjesta-sveucilista-josipa-jurja-strossmayera-u-osijeku-procisceni-tekst.pdf" TargetMode="External"/><Relationship Id="rId29" Type="http://schemas.openxmlformats.org/officeDocument/2006/relationships/hyperlink" Target="http://www.gfos.unios.hr/download/pravilnik-o-stegovnoj-odgovornosti-studenata.pdf" TargetMode="External"/><Relationship Id="rId41" Type="http://schemas.openxmlformats.org/officeDocument/2006/relationships/hyperlink" Target="http://www.gfos.unios.hr/download/pravila-za-upravljanje-dokumentarnim-gradivom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ktorski-zbor.hr/fileadmin/rektorat/O_Sveucilistu/Tijela_sluzbe/Rektorski_zbor/dokumenti/nn_13_2012_odluka_o_nuznim_uvjetima_izbor_u_zvanja.pdf" TargetMode="External"/><Relationship Id="rId24" Type="http://schemas.openxmlformats.org/officeDocument/2006/relationships/hyperlink" Target="http://www.gfos.unios.hr/download/pravilnik-o-raspisivanju-i-provedbi-javnih-natjecaja-na-sveucilistu-josipa-jurja-strossmayera-u-osijeku.pdf" TargetMode="External"/><Relationship Id="rId32" Type="http://schemas.openxmlformats.org/officeDocument/2006/relationships/hyperlink" Target="http://www.gfos.unios.hr/download/pravilnik-o-uvjetima-i-nacinu-ostvarivanja-prava-na-dodjelu-studentskih-stipendija-i-potpora-sveucilista-josipa-jurja-strossmayera-u-osijeku.pdf" TargetMode="External"/><Relationship Id="rId37" Type="http://schemas.openxmlformats.org/officeDocument/2006/relationships/hyperlink" Target="http://www.gfos.unios.hr/download/pravilnik-o-postupku-unutarneg-prijavaljivnja-nepravilnositi-lipanj-2022.pdf" TargetMode="External"/><Relationship Id="rId40" Type="http://schemas.openxmlformats.org/officeDocument/2006/relationships/hyperlink" Target="http://www.gfos.unios.hr/download/pravilnik-o-zavrsnim-i-diplomskim-ispitima-procisceni-s-potpisima.pdf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rektorski-zbor.hr/fileadmin/rektorski_zborRH/dokumenti/Odluka_minimalni_uvjeti_za_reizbor_NN_24_2021.pdf" TargetMode="External"/><Relationship Id="rId23" Type="http://schemas.openxmlformats.org/officeDocument/2006/relationships/hyperlink" Target="http://www.unios.hr/wp-content/uploads/2020/01/Pravilnik-izdava%C4%8Dka-djelatnost-20200122.pdf" TargetMode="External"/><Relationship Id="rId28" Type="http://schemas.openxmlformats.org/officeDocument/2006/relationships/hyperlink" Target="http://www.gfos.unios.hr/download/pravilnik-o-sprjecavanju-nepotizma.pdf" TargetMode="External"/><Relationship Id="rId36" Type="http://schemas.openxmlformats.org/officeDocument/2006/relationships/hyperlink" Target="http://www.gfos.unios.hr/download/pravilnik-o-koristenju-sluzbenog-vozila.pdf" TargetMode="External"/><Relationship Id="rId49" Type="http://schemas.openxmlformats.org/officeDocument/2006/relationships/footer" Target="footer3.xml"/><Relationship Id="rId10" Type="http://schemas.openxmlformats.org/officeDocument/2006/relationships/hyperlink" Target="http://www.rektorski-zbor.hr/fileadmin/rektorat/O_Sveucilistu/Tijela_sluzbe/Rektorski_zbor/dokumenti/odluka_o_obliku_i_nacinu_provedbe_nastupnog_predavanja_za_izbor_u_znanstveno-nastavna_zvanja_umjetniko-nastavna_zvanja_i_nastavna_zvanja_nn_129_2005__2_.pdf" TargetMode="External"/><Relationship Id="rId19" Type="http://schemas.openxmlformats.org/officeDocument/2006/relationships/hyperlink" Target="https://narodne-novine.nn.hr/clanci/sluzbeni/2017_03_28_652.html" TargetMode="External"/><Relationship Id="rId31" Type="http://schemas.openxmlformats.org/officeDocument/2006/relationships/hyperlink" Target="http://www.gfos.unios.hr/download/pravilnik-o-sukobima-interesa-i-obveza.pdf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2_10_119_1834.html" TargetMode="External"/><Relationship Id="rId14" Type="http://schemas.openxmlformats.org/officeDocument/2006/relationships/hyperlink" Target="http://www.rektorski-zbor.hr/fileadmin/rektorat/O_Sveucilistu/Tijela_sluzbe/Rektorski_zbor/dokumenti/NN_120_2021_Odluka_o_izmjeni_i_dopuni_Odluke_o_nuznim_uvjetima_za_ocjenu_nastavne_i_znanstveno-strucne_djelatnosti_u_postupku_izbora_u_znanstveno-nastavna_zvanja.pdf" TargetMode="External"/><Relationship Id="rId22" Type="http://schemas.openxmlformats.org/officeDocument/2006/relationships/hyperlink" Target="http://www.gfos.unios.hr/download/statut-gradevinskog-i-arhitektonskog-fakulteta-osijek-2023.pdf" TargetMode="External"/><Relationship Id="rId27" Type="http://schemas.openxmlformats.org/officeDocument/2006/relationships/hyperlink" Target="http://www.gfos.unios.hr/download/pravilnik-o-poslijediplomskim-studijima-na-sveucilistu-josipa-jurja-strossmayera-u-osijeku.pdf" TargetMode="External"/><Relationship Id="rId30" Type="http://schemas.openxmlformats.org/officeDocument/2006/relationships/hyperlink" Target="http://www.gfos.unios.hr/download/pravilnik-o-studijima-i-studiranju-na-sveucilistu-josipa-jurja-strossmayera-u-osijeku.pdf" TargetMode="External"/><Relationship Id="rId35" Type="http://schemas.openxmlformats.org/officeDocument/2006/relationships/hyperlink" Target="http://www.gfos.unios.hr/download/pravilnik-o-radu-gradevinskog-i-arhitektonskog-fakulteta-osijek-sijecanj-2022.pdf" TargetMode="External"/><Relationship Id="rId43" Type="http://schemas.openxmlformats.org/officeDocument/2006/relationships/hyperlink" Target="http://www.gfos.unios.hr/download/pravilnik-o-obveznoj-strucnoj-praksi-studenata.pdf" TargetMode="External"/><Relationship Id="rId48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FE519-C13E-4E05-80B5-E4998D28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6188</Words>
  <Characters>35276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</dc:creator>
  <cp:keywords/>
  <dc:description/>
  <cp:lastModifiedBy>Jozo</cp:lastModifiedBy>
  <cp:revision>19</cp:revision>
  <cp:lastPrinted>2025-02-24T14:08:00Z</cp:lastPrinted>
  <dcterms:created xsi:type="dcterms:W3CDTF">2025-10-21T07:08:00Z</dcterms:created>
  <dcterms:modified xsi:type="dcterms:W3CDTF">2025-12-19T15:34:00Z</dcterms:modified>
</cp:coreProperties>
</file>